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1FA9D" w14:textId="1B9E3F98" w:rsidR="00A204F5" w:rsidRDefault="00A204F5" w:rsidP="00A204F5">
      <w:pPr>
        <w:spacing w:after="0"/>
      </w:pPr>
      <w:r>
        <w:t>Joe Hilleary</w:t>
      </w:r>
    </w:p>
    <w:p w14:paraId="40706142" w14:textId="42C7DC3B" w:rsidR="00A204F5" w:rsidRDefault="00A204F5" w:rsidP="00A204F5">
      <w:pPr>
        <w:spacing w:after="0"/>
      </w:pPr>
      <w:r>
        <w:t>5/8/2024</w:t>
      </w:r>
    </w:p>
    <w:p w14:paraId="44B1BB3F" w14:textId="3A18CC94" w:rsidR="00A204F5" w:rsidRDefault="00A204F5" w:rsidP="00A204F5">
      <w:pPr>
        <w:spacing w:after="0"/>
      </w:pPr>
      <w:r>
        <w:t xml:space="preserve">Spatial Statistics Spring 2024, </w:t>
      </w:r>
      <w:r>
        <w:t>Tufts University</w:t>
      </w:r>
    </w:p>
    <w:p w14:paraId="485AF5BC" w14:textId="77777777" w:rsidR="00A204F5" w:rsidRDefault="00A204F5" w:rsidP="00A204F5"/>
    <w:p w14:paraId="4799405E" w14:textId="50B0D401" w:rsidR="00A204F5" w:rsidRPr="00BA4B53" w:rsidRDefault="00A204F5" w:rsidP="001535A5">
      <w:pPr>
        <w:pStyle w:val="Title"/>
        <w:jc w:val="center"/>
        <w:rPr>
          <w:rFonts w:asciiTheme="minorHAnsi" w:hAnsiTheme="minorHAnsi"/>
          <w:b/>
          <w:bCs/>
          <w:sz w:val="24"/>
          <w:szCs w:val="24"/>
        </w:rPr>
      </w:pPr>
      <w:r w:rsidRPr="00BA4B53">
        <w:rPr>
          <w:rFonts w:asciiTheme="minorHAnsi" w:hAnsiTheme="minorHAnsi"/>
          <w:b/>
          <w:bCs/>
          <w:sz w:val="24"/>
          <w:szCs w:val="24"/>
        </w:rPr>
        <w:t>Understanding Opposition to the MBTA Communities Act: A Tale of Two Cities</w:t>
      </w:r>
    </w:p>
    <w:p w14:paraId="2FAEAFD0" w14:textId="2619C75E" w:rsidR="001535A5" w:rsidRPr="001535A5" w:rsidRDefault="001535A5" w:rsidP="001535A5">
      <w:pPr>
        <w:pStyle w:val="Heading1"/>
        <w:rPr>
          <w:rFonts w:asciiTheme="minorHAnsi" w:hAnsiTheme="minorHAnsi"/>
          <w:b/>
          <w:bCs/>
          <w:color w:val="auto"/>
          <w:sz w:val="24"/>
          <w:szCs w:val="24"/>
        </w:rPr>
      </w:pPr>
      <w:r w:rsidRPr="001535A5">
        <w:rPr>
          <w:rFonts w:asciiTheme="minorHAnsi" w:hAnsiTheme="minorHAnsi"/>
          <w:b/>
          <w:bCs/>
          <w:color w:val="auto"/>
          <w:sz w:val="24"/>
          <w:szCs w:val="24"/>
        </w:rPr>
        <w:t>Introduction</w:t>
      </w:r>
      <w:r>
        <w:rPr>
          <w:rFonts w:asciiTheme="minorHAnsi" w:hAnsiTheme="minorHAnsi"/>
          <w:b/>
          <w:bCs/>
          <w:color w:val="auto"/>
          <w:sz w:val="24"/>
          <w:szCs w:val="24"/>
        </w:rPr>
        <w:t>:</w:t>
      </w:r>
    </w:p>
    <w:p w14:paraId="45107336" w14:textId="2C27B395" w:rsidR="00AB073D" w:rsidRDefault="00B32114" w:rsidP="00EC6862">
      <w:r>
        <w:t>In</w:t>
      </w:r>
      <w:r w:rsidRPr="00B32114">
        <w:t xml:space="preserve"> 2021, the Massachusetts state legislature passed a law known as the MBTA Communities Act as part of an attempt to address the housing crisis. This law requires towns and cities served by the MBTA to “have at least one zoning district of reasonable size in which multi-family housing is permitted”</w:t>
      </w:r>
      <w:r w:rsidR="00EC6862">
        <w:t xml:space="preserve"> </w:t>
      </w:r>
      <w:r w:rsidR="00EC6862">
        <w:fldChar w:fldCharType="begin"/>
      </w:r>
      <w:r w:rsidR="00EC6862">
        <w:instrText xml:space="preserve"> ADDIN ZOTERO_ITEM CSL_CITATION {"citationID":"PwZchCnX","properties":{"formattedCitation":"[1]","plainCitation":"[1]","noteIndex":0},"citationItems":[{"id":501,"uris":["http://zotero.org/users/5661670/items/26XUNKHW"],"itemData":{"id":501,"type":"webpage","abstract":"This page includes Compliance Guidelines on new Section 3A of MGL c. 40A and related materials.","language":"en","title":"Multi-Family Zoning Requirement for MBTA Communities | Mass.gov","URL":"https://www.mass.gov/info-details/multi-family-zoning-requirement-for-mbta-communities","accessed":{"date-parts":[["2024",5,8]]}}}],"schema":"https://github.com/citation-style-language/schema/raw/master/csl-citation.json"} </w:instrText>
      </w:r>
      <w:r w:rsidR="00EC6862">
        <w:fldChar w:fldCharType="separate"/>
      </w:r>
      <w:r w:rsidR="00EC6862" w:rsidRPr="00EC6862">
        <w:rPr>
          <w:rFonts w:ascii="Aptos" w:hAnsi="Aptos"/>
        </w:rPr>
        <w:t>[1]</w:t>
      </w:r>
      <w:r w:rsidR="00EC6862">
        <w:fldChar w:fldCharType="end"/>
      </w:r>
      <w:r w:rsidR="00EC6862">
        <w:t>.</w:t>
      </w:r>
      <w:r>
        <w:t xml:space="preserve"> </w:t>
      </w:r>
      <w:r w:rsidRPr="00B32114">
        <w:t xml:space="preserve">Throughout the state, 177 communities fall under one of four categories defined by the law—Rapid Transit Communities, Commuter Rail Communities, Adjacent Communities, and Adjacent Small Towns. </w:t>
      </w:r>
      <w:r w:rsidR="00AB073D">
        <w:t>All of these communities had to submit an action plan to the state by January 2023</w:t>
      </w:r>
      <w:r w:rsidR="00AB073D">
        <w:t xml:space="preserve">, but the deadline for passing compliant zoning varies by category. </w:t>
      </w:r>
      <w:r w:rsidRPr="00B32114">
        <w:t xml:space="preserve">The first </w:t>
      </w:r>
      <w:r w:rsidR="00AB073D">
        <w:t>group, Rapid Transit Communities,</w:t>
      </w:r>
      <w:r w:rsidRPr="00B32114">
        <w:t xml:space="preserve"> was required to pass compliant zoning by the end of 2023, with the others to follow over the next two years. </w:t>
      </w:r>
    </w:p>
    <w:p w14:paraId="65D034CC" w14:textId="2E1D8EBC" w:rsidR="00B32114" w:rsidRDefault="00B32114" w:rsidP="00AB073D">
      <w:r w:rsidRPr="00B32114">
        <w:t>Despite requiring only zoning, and not development, there has already been vehement opposition from residents of the communities impacted by the legislation. In particular, two Rapid Transit communities saw organized opposition lead to public votes on whether or not to comply with the statute. In Brookline, this movement failed and compliant zoning was passed by the Town Meeting</w:t>
      </w:r>
      <w:r w:rsidR="00AB073D">
        <w:t xml:space="preserve"> just before the end of year deadline</w:t>
      </w:r>
      <w:r w:rsidRPr="00B32114">
        <w:t xml:space="preserve">. In Milton, the opposition succeeded on a ballot initiative, and the community is now in open violation </w:t>
      </w:r>
      <w:r w:rsidR="00AB073D">
        <w:t xml:space="preserve">of the statute </w:t>
      </w:r>
      <w:r w:rsidRPr="00B32114">
        <w:t>and being sued by the state. This project explores the differences between these two town</w:t>
      </w:r>
      <w:r w:rsidR="00AB073D">
        <w:t>s</w:t>
      </w:r>
      <w:r w:rsidRPr="00B32114">
        <w:t xml:space="preserve"> in an attempt to understand what factors may have led to their divergent voting outcomes</w:t>
      </w:r>
      <w:r w:rsidR="00AB073D">
        <w:t>.</w:t>
      </w:r>
      <w:r w:rsidR="001535A5">
        <w:t xml:space="preserve"> </w:t>
      </w:r>
    </w:p>
    <w:p w14:paraId="09C79F20" w14:textId="69FF8CC0" w:rsidR="00CF440A" w:rsidRDefault="00CF440A" w:rsidP="00AB073D">
      <w:r>
        <w:t>Opposition to changes in zoning, particularly those intended to encourage higher density development is often understood through the lens of NIBYism (Not in My Backyard). As the name suggests, NIMBYism is fundamentally related to spatial proximity</w:t>
      </w:r>
      <w:r w:rsidR="00EC6862">
        <w:t>. Thus, this investigation lent itself to the application of spatial analysis techniques.</w:t>
      </w:r>
    </w:p>
    <w:p w14:paraId="418A2761" w14:textId="77777777" w:rsidR="00F67834" w:rsidRDefault="00F67834" w:rsidP="00F67834">
      <w:pPr>
        <w:pStyle w:val="Heading1"/>
        <w:rPr>
          <w:rFonts w:asciiTheme="minorHAnsi" w:hAnsiTheme="minorHAnsi"/>
          <w:b/>
          <w:bCs/>
          <w:color w:val="auto"/>
          <w:sz w:val="24"/>
          <w:szCs w:val="24"/>
        </w:rPr>
      </w:pPr>
      <w:r w:rsidRPr="001535A5">
        <w:rPr>
          <w:rFonts w:asciiTheme="minorHAnsi" w:hAnsiTheme="minorHAnsi"/>
          <w:b/>
          <w:bCs/>
          <w:color w:val="auto"/>
          <w:sz w:val="24"/>
          <w:szCs w:val="24"/>
        </w:rPr>
        <w:t>Data:</w:t>
      </w:r>
    </w:p>
    <w:p w14:paraId="33F246F2" w14:textId="32C3EE0A" w:rsidR="005D6D1E" w:rsidRDefault="00F67834" w:rsidP="003B7A29">
      <w:r>
        <w:t>To</w:t>
      </w:r>
      <w:r w:rsidR="00EC6862">
        <w:t xml:space="preserve"> </w:t>
      </w:r>
      <w:r>
        <w:t>investigat</w:t>
      </w:r>
      <w:r w:rsidR="00EC6862">
        <w:t>e</w:t>
      </w:r>
      <w:r>
        <w:t xml:space="preserve"> th</w:t>
      </w:r>
      <w:r w:rsidR="00EC6862">
        <w:t>e drivers of voting patterns in each town</w:t>
      </w:r>
      <w:r>
        <w:t xml:space="preserve">, I began by gathering data on the two communities. I acquired the precinct-level voting results from the two initiatives from the respective town websites. I then augmented this electoral data with socio-economic data from Social Explorer that was gathered at the census tract-level as part of the </w:t>
      </w:r>
      <w:r>
        <w:lastRenderedPageBreak/>
        <w:t xml:space="preserve">American Communities Survey. </w:t>
      </w:r>
      <w:r w:rsidR="00141F15">
        <w:t xml:space="preserve">In particular, </w:t>
      </w:r>
      <w:r w:rsidR="00CF440A">
        <w:t>I was interested in demographic variables such as race and ethnicity as well as income and education</w:t>
      </w:r>
      <w:r w:rsidR="003B7A29">
        <w:t xml:space="preserve"> based on the findings of Glick et al. as to who is most likely to oppose the development of new multi-family housing </w:t>
      </w:r>
      <w:r w:rsidR="003B7A29">
        <w:fldChar w:fldCharType="begin"/>
      </w:r>
      <w:r w:rsidR="003B7A29">
        <w:instrText xml:space="preserve"> ADDIN ZOTERO_ITEM CSL_CITATION {"citationID":"Sfdcu9uv","properties":{"formattedCitation":"[2]","plainCitation":"[2]","noteIndex":0},"citationItems":[{"id":522,"uris":["http://zotero.org/users/5661670/items/V9Q6YSJR"],"itemData":{"id":522,"type":"chapter","abstract":"Chapters 5 and 6 turn to members of the public. In Chapter 5, we combine a novel data set of all citizen participants in planning and zoning board meetings in the greater Boston area with the state voter file to describe the demographic and attitudinal attributes of meeting attendees. We demonstrate that these individuals are overwhelmingly opposed to new housing and demographically unrepresentative of their broader communities across a number of important domains.","container-title":"Neighborhood Defenders: Participatory Politics and America's Housing Crisis","event-place":"Cambridge","ISBN":"978-1-108-47727-7","note":"DOI: 10.1017/9781108769495.005","page":"95-114","publisher":"Cambridge University Press","publisher-place":"Cambridge","source":"Cambridge University Press","title":"Who Are the Neighborhood Defenders?","URL":"https://www.cambridge.org/core/books/neighborhood-defenders/who-are-the-neighborhood-defenders/04D281C687B5D77BCE52D53F56002962","editor":[{"family":"Glick","given":"David M."},{"family":"Einstein","given":"Katherine Levine"},{"family":"Palmer","given":"Maxwell"}],"accessed":{"date-parts":[["2024",5,8]]},"issued":{"date-parts":[["2019"]]}}}],"schema":"https://github.com/citation-style-language/schema/raw/master/csl-citation.json"} </w:instrText>
      </w:r>
      <w:r w:rsidR="003B7A29">
        <w:fldChar w:fldCharType="separate"/>
      </w:r>
      <w:r w:rsidR="003B7A29" w:rsidRPr="003B7A29">
        <w:rPr>
          <w:rFonts w:ascii="Aptos" w:hAnsi="Aptos"/>
        </w:rPr>
        <w:t>[2]</w:t>
      </w:r>
      <w:r w:rsidR="003B7A29">
        <w:fldChar w:fldCharType="end"/>
      </w:r>
      <w:r w:rsidR="00CF440A">
        <w:t xml:space="preserve">. </w:t>
      </w:r>
      <w:r w:rsidR="003B7A29">
        <w:t>F</w:t>
      </w:r>
      <w:r w:rsidR="00CF440A">
        <w:t xml:space="preserve">ollowing the work of Atkinson-Palombo and Kuby in </w:t>
      </w:r>
      <w:r w:rsidR="00CF440A">
        <w:t>“The geography of advance transit-oriented development in metropolitan Phoenix, Arizona, 2000–2007</w:t>
      </w:r>
      <w:r w:rsidR="00CF440A">
        <w:t>,</w:t>
      </w:r>
      <w:r w:rsidR="00CF440A">
        <w:t>”</w:t>
      </w:r>
      <w:r w:rsidR="00CF440A">
        <w:t xml:space="preserve"> I also collected</w:t>
      </w:r>
      <w:r w:rsidR="004E4C22">
        <w:t xml:space="preserve"> housing</w:t>
      </w:r>
      <w:r w:rsidR="00CF440A">
        <w:t xml:space="preserve"> information</w:t>
      </w:r>
      <w:r w:rsidR="003B7A29">
        <w:t>, including the rate of renters vs homeowners</w:t>
      </w:r>
      <w:r w:rsidR="005D6D1E">
        <w:t xml:space="preserve"> </w:t>
      </w:r>
      <w:r w:rsidR="005D6D1E">
        <w:fldChar w:fldCharType="begin"/>
      </w:r>
      <w:r w:rsidR="003B7A29">
        <w:instrText xml:space="preserve"> ADDIN ZOTERO_ITEM CSL_CITATION {"citationID":"RYrV3TNY","properties":{"formattedCitation":"[3]","plainCitation":"[3]","noteIndex":0},"citationItems":[{"id":505,"uris":["http://zotero.org/users/5661670/items/5PI93WDZ"],"itemData":{"id":505,"type":"article-journal","abstract":"Phoenix adopted overlay zoning (an additional, targeted layer of regulations) in some light-rail transit (LRT) station areas at the site-selection stage to reduce planning-related uncertainty. This prompts consideration of advance transit-oriented development (TOD)—development that takes place before LRT system operation. In this paper we break down almost $1billion worth of advance TOD in the Phoenix area by type of TOD, type of station area, and use of overlay zoning. Factor analysis and cluster analysis are applied to GIS-based parcel-level data to identify five distinct station-area types. We then use ANOVA to verify statistically significant relationships between station-area type and: the value of advance TOD, the percentage of parcels with overlay zoning, and the percentage of advance TOD with overlay zoning. The five station-area types, ordered from highest to lowest advance TOD per station, are employment centers; Middle-Income Mixed-Use areas; transportation (park-and-ride) nodes; high population/rental areas; and urban poverty areas. Overlay zoning was used most in areas of urban poverty and least in station-area types with the most single-family housing. Advance TOD coincided strongly with overlay zoning in areas of urban poverty and least in employment and amenity centers.","container-title":"Journal of Transport Geography","DOI":"10.1016/j.jtrangeo.2010.03.014","ISSN":"0966-6923","issue":"2","journalAbbreviation":"Journal of Transport Geography","page":"189-199","source":"ScienceDirect","title":"The geography of advance transit-oriented development in metropolitan Phoenix, Arizona, 2000–2007","volume":"19","author":[{"family":"Atkinson-Palombo","given":"Carol"},{"family":"Kuby","given":"Michael J."}],"issued":{"date-parts":[["2011",3,1]]}}}],"schema":"https://github.com/citation-style-language/schema/raw/master/csl-citation.json"} </w:instrText>
      </w:r>
      <w:r w:rsidR="005D6D1E">
        <w:fldChar w:fldCharType="separate"/>
      </w:r>
      <w:r w:rsidR="003B7A29" w:rsidRPr="003B7A29">
        <w:rPr>
          <w:rFonts w:ascii="Aptos" w:hAnsi="Aptos"/>
        </w:rPr>
        <w:t>[3]</w:t>
      </w:r>
      <w:r w:rsidR="005D6D1E">
        <w:fldChar w:fldCharType="end"/>
      </w:r>
      <w:r w:rsidR="00E05A61">
        <w:t xml:space="preserve">. </w:t>
      </w:r>
    </w:p>
    <w:p w14:paraId="170D3741" w14:textId="612DE23D" w:rsidR="005D6D1E" w:rsidRDefault="004E4C22" w:rsidP="005D6D1E">
      <w:r>
        <w:t xml:space="preserve">I transformed several of these variables to be rates and </w:t>
      </w:r>
      <w:r w:rsidR="00954E26">
        <w:t>pooled</w:t>
      </w:r>
      <w:r>
        <w:t xml:space="preserve"> some variables which had been further broken down into categories, such as education, age, and commute time. </w:t>
      </w:r>
      <w:r w:rsidR="00E05A61">
        <w:t xml:space="preserve">Ultimately, I included 14 variables in my initial set: population density, percent female, percent over 65, percent White, percent Black, percent Asian, percent Latinx, percent with a bachelor’s degree or higher, median household income, vacancy rate, percent renter occupied </w:t>
      </w:r>
      <w:r>
        <w:t>households, median rent, percent public transit users, and percent that commute at least 30 minutes. Because the voting results were at the precinct level, I was forced to aggregate the census tract data. I did this by averaging the values for each tract that intersected a given precinct, excluding null or missing values</w:t>
      </w:r>
      <w:r w:rsidR="00954E26">
        <w:t>, and assigning that mean to the precinct</w:t>
      </w:r>
      <w:r>
        <w:t>.</w:t>
      </w:r>
      <w:r w:rsidR="005D6D1E">
        <w:t xml:space="preserve"> </w:t>
      </w:r>
    </w:p>
    <w:p w14:paraId="48AA0C9B" w14:textId="7B5C043E" w:rsidR="00141F15" w:rsidRDefault="00F67834" w:rsidP="003B7A29">
      <w:r>
        <w:t xml:space="preserve">Shape files </w:t>
      </w:r>
      <w:r w:rsidR="00116E7A">
        <w:t xml:space="preserve">for the 2020 census tracts and the 2022 voting precincts along with </w:t>
      </w:r>
      <w:r>
        <w:t xml:space="preserve">point locations for MBTA rail stations came from </w:t>
      </w:r>
      <w:r w:rsidR="00141F15">
        <w:t>the Massachusetts Bureau of Geographic Information (</w:t>
      </w:r>
      <w:r>
        <w:t>MassGIS</w:t>
      </w:r>
      <w:r w:rsidR="00141F15">
        <w:t>)</w:t>
      </w:r>
      <w:r w:rsidR="0058108B">
        <w:t xml:space="preserve"> </w:t>
      </w:r>
      <w:r w:rsidR="0058108B">
        <w:fldChar w:fldCharType="begin"/>
      </w:r>
      <w:r w:rsidR="003B7A29">
        <w:instrText xml:space="preserve"> ADDIN ZOTERO_ITEM CSL_CITATION {"citationID":"PbxDbsPU","properties":{"formattedCitation":"[4], [5], [6]","plainCitation":"[4], [5], [6]","noteIndex":0},"citationItems":[{"id":507,"uris":["http://zotero.org/users/5661670/items/P5KVNP3S"],"itemData":{"id":507,"type":"webpage","abstract":"November 2023","language":"en","title":"MassGIS Data: Trains | Mass.gov","title-short":"MassGIS Data","URL":"https://www.mass.gov/info-details/massgis-data-trains","accessed":{"date-parts":[["2024",5,8]]}}},{"id":509,"uris":["http://zotero.org/users/5661670/items/S5I62QE9"],"itemData":{"id":509,"type":"webpage","abstract":"December 2022","language":"en","title":"MassGIS Data: 2020 U.S. Census | Mass.gov","title-short":"MassGIS Data","URL":"https://www.mass.gov/info-details/massgis-data-2020-us-census","accessed":{"date-parts":[["2024",5,8]]}}},{"id":511,"uris":["http://zotero.org/users/5661670/items/SC7ZTGIV"],"itemData":{"id":511,"type":"webpage","abstract":"November 2023","language":"en","title":"MassGIS Data: 2022 Wards and Precincts | Mass.gov","title-short":"MassGIS Data","URL":"https://www.mass.gov/info-details/massgis-data-2022-wards-and-precincts","accessed":{"date-parts":[["2024",5,8]]}}}],"schema":"https://github.com/citation-style-language/schema/raw/master/csl-citation.json"} </w:instrText>
      </w:r>
      <w:r w:rsidR="0058108B">
        <w:fldChar w:fldCharType="separate"/>
      </w:r>
      <w:r w:rsidR="003B7A29" w:rsidRPr="003B7A29">
        <w:rPr>
          <w:rFonts w:ascii="Aptos" w:hAnsi="Aptos"/>
        </w:rPr>
        <w:t>[4], [5], [6]</w:t>
      </w:r>
      <w:r w:rsidR="0058108B">
        <w:fldChar w:fldCharType="end"/>
      </w:r>
      <w:r w:rsidR="00141F15">
        <w:t>.</w:t>
      </w:r>
    </w:p>
    <w:p w14:paraId="5A314089" w14:textId="2EA610E3" w:rsidR="001535A5" w:rsidRPr="001535A5" w:rsidRDefault="0058108B" w:rsidP="001535A5">
      <w:pPr>
        <w:pStyle w:val="Heading1"/>
        <w:rPr>
          <w:rFonts w:asciiTheme="minorHAnsi" w:hAnsiTheme="minorHAnsi"/>
          <w:b/>
          <w:bCs/>
          <w:color w:val="auto"/>
          <w:sz w:val="24"/>
          <w:szCs w:val="24"/>
        </w:rPr>
      </w:pPr>
      <w:r>
        <w:rPr>
          <w:rFonts w:asciiTheme="minorHAnsi" w:hAnsiTheme="minorHAnsi"/>
          <w:b/>
          <w:bCs/>
          <w:color w:val="auto"/>
          <w:sz w:val="24"/>
          <w:szCs w:val="24"/>
        </w:rPr>
        <w:t>Analysis</w:t>
      </w:r>
      <w:r w:rsidR="001535A5" w:rsidRPr="001535A5">
        <w:rPr>
          <w:rFonts w:asciiTheme="minorHAnsi" w:hAnsiTheme="minorHAnsi"/>
          <w:b/>
          <w:bCs/>
          <w:color w:val="auto"/>
          <w:sz w:val="24"/>
          <w:szCs w:val="24"/>
        </w:rPr>
        <w:t>:</w:t>
      </w:r>
    </w:p>
    <w:p w14:paraId="7C7DE4D7" w14:textId="39E8E392" w:rsidR="009D0746" w:rsidRDefault="001535A5" w:rsidP="0058108B">
      <w:r>
        <w:t xml:space="preserve">In designing my study, I drew on the existing literature of spatial analysis of NIMBYism. Following the work of Brown and Glanz </w:t>
      </w:r>
      <w:r w:rsidR="00F67834">
        <w:t xml:space="preserve">in </w:t>
      </w:r>
      <w:r w:rsidR="00F67834">
        <w:t>“Identifying potential NIMBY and YIMBY effects in general land use planning and zoning</w:t>
      </w:r>
      <w:r w:rsidR="00F67834">
        <w:t>,</w:t>
      </w:r>
      <w:r w:rsidR="00F67834">
        <w:t>”</w:t>
      </w:r>
      <w:r w:rsidR="00F67834">
        <w:t xml:space="preserve"> I began by examining spatial autocorrelation among the </w:t>
      </w:r>
      <w:r w:rsidR="0058108B">
        <w:t xml:space="preserve">proportion of voters in each precinct that opposed the compliant zoning measures. While Brown and Glanz used Getis-Ord clustering, I calculated the Global Moran’s I for each town </w:t>
      </w:r>
      <w:r w:rsidR="00694D97">
        <w:t xml:space="preserve">using a Queen’s weight matrix </w:t>
      </w:r>
      <w:r w:rsidR="0058108B">
        <w:t xml:space="preserve">and then mapped the Local Moran’s I to see if there were clusters. </w:t>
      </w:r>
      <w:r w:rsidR="00694D97">
        <w:t xml:space="preserve">There was some evidence for spatial autocorrelation in the case of Milton, which had a Global Moran’s I of 0.45—significantly greater than the expected value of -0.11. Brookline, on the other hand, had no such indication, given an insignificant difference between Global Moran’s I value of -0.12 and the expected value of -0.06. Neither turned up any clusters based on the LISA analysis. </w:t>
      </w:r>
    </w:p>
    <w:p w14:paraId="053354E9" w14:textId="77777777" w:rsidR="00954E26" w:rsidRDefault="00694D97" w:rsidP="003B7A29">
      <w:r>
        <w:t>Next, I plotted the locations of MBTA rapid transit stations in both town</w:t>
      </w:r>
      <w:r w:rsidR="003B7A29">
        <w:t>s</w:t>
      </w:r>
      <w:r>
        <w:t xml:space="preserve"> on top of their voting results (See figure 1). </w:t>
      </w:r>
    </w:p>
    <w:p w14:paraId="4D55CED5" w14:textId="4F324FCA" w:rsidR="00954E26" w:rsidRDefault="00954E26" w:rsidP="00954E26">
      <w:pPr>
        <w:jc w:val="center"/>
      </w:pPr>
      <w:r>
        <w:rPr>
          <w:noProof/>
        </w:rPr>
        <w:lastRenderedPageBreak/>
        <w:drawing>
          <wp:inline distT="0" distB="0" distL="0" distR="0" wp14:anchorId="582BDDFC" wp14:editId="25EFF214">
            <wp:extent cx="2286000" cy="2286000"/>
            <wp:effectExtent l="0" t="0" r="0" b="0"/>
            <wp:docPr id="993197508" name="Picture 2" descr="A map of different shades of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97508" name="Picture 2" descr="A map of different shades of oran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r>
        <w:rPr>
          <w:noProof/>
        </w:rPr>
        <w:drawing>
          <wp:inline distT="0" distB="0" distL="0" distR="0" wp14:anchorId="2050EEA5" wp14:editId="03A3E4FF">
            <wp:extent cx="2286000" cy="2286000"/>
            <wp:effectExtent l="0" t="0" r="0" b="0"/>
            <wp:docPr id="1360717052" name="Picture 1"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17052" name="Picture 1" descr="A map of a countr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340E8654" w14:textId="322403BA" w:rsidR="00954E26" w:rsidRDefault="00954E26" w:rsidP="00954E26">
      <w:pPr>
        <w:jc w:val="center"/>
      </w:pPr>
      <w:r>
        <w:t>Figure 1. Milton (left) and Brookline (Right) Voting Results</w:t>
      </w:r>
    </w:p>
    <w:p w14:paraId="64660490" w14:textId="1D4D2844" w:rsidR="00694D97" w:rsidRDefault="00694D97" w:rsidP="003B7A29">
      <w:r>
        <w:t>Visual analysis again seemed to show that while</w:t>
      </w:r>
      <w:r w:rsidR="003B7A29">
        <w:t xml:space="preserve"> a</w:t>
      </w:r>
      <w:r>
        <w:t xml:space="preserve"> relationship might exist in Milton, it was not present in Brookline. </w:t>
      </w:r>
      <w:r w:rsidR="003B7A29">
        <w:t xml:space="preserve">I based this approach on Brown and Glanz use of distance to proposed site of opposition in their analysis of the spatial components of NIMBYism </w:t>
      </w:r>
      <w:r w:rsidR="003B7A29">
        <w:fldChar w:fldCharType="begin"/>
      </w:r>
      <w:r w:rsidR="003B7A29">
        <w:instrText xml:space="preserve"> ADDIN ZOTERO_ITEM CSL_CITATION {"citationID":"yR1OQTtN","properties":{"formattedCitation":"[7]","plainCitation":"[7]","noteIndex":0},"citationItems":[{"id":503,"uris":["http://zotero.org/users/5661670/items/F239LFSE"],"itemData":{"id":503,"type":"article-journal","abstract":"The terms NIMBY (Not-In-My-Back-Yard) and YIMBY (Yes-In-My-Back-Yard) describe negative and positive attitudes toward proposed development projects respectively. These attitudes are posited to be influenced by geographic (spatial) discounting wherein the distance from domicile may contribute to local opposition or support. In contrast to specific development projects, the potential influence of NIMBY/YIMBY in a general land use planning process has not been systematically evaluated. In this study, we analyzed empirical data from a public participation GIS (PPGIS) process implemented for a general plan revision to examine the evidence for geographic discounting for a range of land uses using mapped preferences by community residents. Using distance analysis, we found significant evidence for geographic discounting by land use type with variable discount rates influenced by location of residence and the spatial configuration of land use in the planning area represented by zoning. The findings were consistent with NIMBY/YIMBY expectations with the exception of residential development where the results were more ambiguous. Residents want future land uses with amenities (open space, recreation, and trails) closer to domicile and more intensive, developed land uses (commercial, tourism, events, parking) further away. The findings have potentially broad implications because general/comprehensive planning—a requirement of most local governments in the U.S.—is operationalized through land use zones that appear subject to spatial discounting and the manifestation of potential NIMBY/YIMBY effects in the planning process. Future research should examine other planning contexts such as large urban areas with a greater diversity of land uses.","container-title":"Applied Geography","DOI":"10.1016/j.apgeog.2018.07.026","ISSN":"0143-6228","journalAbbreviation":"Applied Geography","page":"1-11","source":"ScienceDirect","title":"Identifying potential NIMBY and YIMBY effects in general land use planning and zoning","volume":"99","author":[{"family":"Brown","given":"Greg"},{"family":"Glanz","given":"Hunter"}],"issued":{"date-parts":[["2018",10,1]]}}}],"schema":"https://github.com/citation-style-language/schema/raw/master/csl-citation.json"} </w:instrText>
      </w:r>
      <w:r w:rsidR="003B7A29">
        <w:fldChar w:fldCharType="separate"/>
      </w:r>
      <w:r w:rsidR="003B7A29" w:rsidRPr="003B7A29">
        <w:rPr>
          <w:rFonts w:ascii="Aptos" w:hAnsi="Aptos"/>
        </w:rPr>
        <w:t>[7]</w:t>
      </w:r>
      <w:r w:rsidR="003B7A29">
        <w:fldChar w:fldCharType="end"/>
      </w:r>
      <w:r w:rsidR="003B7A29">
        <w:t>.</w:t>
      </w:r>
      <w:r w:rsidR="009D1584">
        <w:t xml:space="preserve"> Unlike Brown and Glanz, I did not have point data for individual voters, so at best I could have calculated distance to station for precinct centroids, however, since there did not appear to be a consistent relationship, I opted to assume the commute times and public transit usage were sufficient proxies. In any case, the </w:t>
      </w:r>
      <w:r w:rsidR="00C2773B">
        <w:t>sites of interest were not actually the stations themselves, but the proposed zones, for which I did not have access to shapefiles for analysis.</w:t>
      </w:r>
    </w:p>
    <w:p w14:paraId="35374530" w14:textId="77777777" w:rsidR="00954E26" w:rsidRDefault="000D3C7E" w:rsidP="000C31EC">
      <w:r>
        <w:t xml:space="preserve">Following this initial exploratory data analysis (EDA), I then looked at correlations between my proposed explanatory variables and the voting outcomes for each precinct. </w:t>
      </w:r>
      <w:r w:rsidR="00BC3E8A">
        <w:t xml:space="preserve">First, I generated parallel coordinate plots for each town (see figures 2 and 3), then </w:t>
      </w:r>
      <w:r>
        <w:t xml:space="preserve">I both calculated correlation coefficients and generated scatterplots for each variable. </w:t>
      </w:r>
    </w:p>
    <w:p w14:paraId="7CFB7A17" w14:textId="473C002F" w:rsidR="00954E26" w:rsidRDefault="00954E26" w:rsidP="00954E26">
      <w:pPr>
        <w:jc w:val="center"/>
      </w:pPr>
      <w:r>
        <w:rPr>
          <w:noProof/>
        </w:rPr>
        <w:lastRenderedPageBreak/>
        <w:drawing>
          <wp:inline distT="0" distB="0" distL="0" distR="0" wp14:anchorId="63DFE463" wp14:editId="67CEE300">
            <wp:extent cx="5843171" cy="3657600"/>
            <wp:effectExtent l="0" t="0" r="5715" b="0"/>
            <wp:docPr id="158484393" name="Picture 3"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4393" name="Picture 3" descr="A graph with lines and numb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3171" cy="3657600"/>
                    </a:xfrm>
                    <a:prstGeom prst="rect">
                      <a:avLst/>
                    </a:prstGeom>
                  </pic:spPr>
                </pic:pic>
              </a:graphicData>
            </a:graphic>
          </wp:inline>
        </w:drawing>
      </w:r>
    </w:p>
    <w:p w14:paraId="784ADDC4" w14:textId="6C2B453A" w:rsidR="00954E26" w:rsidRDefault="00954E26" w:rsidP="00954E26">
      <w:pPr>
        <w:jc w:val="center"/>
      </w:pPr>
      <w:r>
        <w:t>Figure 2. Brookline Parallel Coordinates Plot of Explanatory Variables</w:t>
      </w:r>
    </w:p>
    <w:p w14:paraId="04CFAD1D" w14:textId="26A300AF" w:rsidR="00954E26" w:rsidRDefault="00954E26" w:rsidP="00954E26">
      <w:pPr>
        <w:jc w:val="center"/>
      </w:pPr>
      <w:r>
        <w:rPr>
          <w:noProof/>
        </w:rPr>
        <w:drawing>
          <wp:inline distT="0" distB="0" distL="0" distR="0" wp14:anchorId="565DFF68" wp14:editId="5D5943E1">
            <wp:extent cx="5843171" cy="3657600"/>
            <wp:effectExtent l="0" t="0" r="5715" b="0"/>
            <wp:docPr id="463283551" name="Picture 4"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83551" name="Picture 4" descr="A graph with different colore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3171" cy="3657600"/>
                    </a:xfrm>
                    <a:prstGeom prst="rect">
                      <a:avLst/>
                    </a:prstGeom>
                  </pic:spPr>
                </pic:pic>
              </a:graphicData>
            </a:graphic>
          </wp:inline>
        </w:drawing>
      </w:r>
    </w:p>
    <w:p w14:paraId="16286486" w14:textId="7CBFCE12" w:rsidR="00954E26" w:rsidRDefault="00954E26" w:rsidP="00954E26">
      <w:pPr>
        <w:jc w:val="center"/>
      </w:pPr>
      <w:r>
        <w:t>Figure 3. Milton Parallel Coordinates Plot of Explanatory Variables</w:t>
      </w:r>
    </w:p>
    <w:p w14:paraId="30C61CB2" w14:textId="77777777" w:rsidR="00954E26" w:rsidRDefault="00954E26" w:rsidP="000C31EC"/>
    <w:p w14:paraId="6130679A" w14:textId="5687BF63" w:rsidR="000D3C7E" w:rsidRDefault="000D3C7E" w:rsidP="000C31EC">
      <w:r>
        <w:t>I found that for Milton, five variables had a significant relationship with the percentage of votes in opposition: the four racial/ethnic variable</w:t>
      </w:r>
      <w:r w:rsidR="000C31EC">
        <w:t>s</w:t>
      </w:r>
      <w:r>
        <w:t xml:space="preserve"> and the median rent.</w:t>
      </w:r>
      <w:r w:rsidR="000C31EC">
        <w:t xml:space="preserve"> Median rent, percent White, and percent Asian were strongly positively correlated with opposition, while percent Black and percent Latinx were strongly negatively correlated.</w:t>
      </w:r>
      <w:r>
        <w:t xml:space="preserve"> </w:t>
      </w:r>
      <w:r w:rsidR="000C31EC">
        <w:t>For Brookline, only two variables were significant, and neither were variables that were significant for Milton. Instead, percent public transit users was negatively correlated, while percent with a bachelor’s degree or higher was positively correlated.</w:t>
      </w:r>
      <w:r w:rsidR="00A40888">
        <w:t xml:space="preserve"> </w:t>
      </w:r>
    </w:p>
    <w:p w14:paraId="014E7180" w14:textId="77777777" w:rsidR="00954E26" w:rsidRDefault="002B7E8F" w:rsidP="002B7E8F">
      <w:r>
        <w:t>M</w:t>
      </w:r>
      <w:r w:rsidR="00A40888">
        <w:t xml:space="preserve">any of </w:t>
      </w:r>
      <w:r>
        <w:t>the</w:t>
      </w:r>
      <w:r w:rsidR="00A40888">
        <w:t xml:space="preserve"> variables seemed to have </w:t>
      </w:r>
      <w:r w:rsidR="00147F1D">
        <w:t>intercorrelation</w:t>
      </w:r>
      <w:r>
        <w:t xml:space="preserve"> (see figures </w:t>
      </w:r>
      <w:r w:rsidR="00BC3E8A">
        <w:t>4</w:t>
      </w:r>
      <w:r>
        <w:t xml:space="preserve"> and </w:t>
      </w:r>
      <w:r w:rsidR="00BC3E8A">
        <w:t>5</w:t>
      </w:r>
      <w:r>
        <w:t xml:space="preserve">). </w:t>
      </w:r>
    </w:p>
    <w:p w14:paraId="41B49F1A" w14:textId="7F5BC970" w:rsidR="00954E26" w:rsidRDefault="00954E26" w:rsidP="00954E26">
      <w:pPr>
        <w:jc w:val="center"/>
      </w:pPr>
      <w:r>
        <w:rPr>
          <w:noProof/>
        </w:rPr>
        <w:drawing>
          <wp:inline distT="0" distB="0" distL="0" distR="0" wp14:anchorId="7F4BB755" wp14:editId="6F8B15DF">
            <wp:extent cx="5843171" cy="3657600"/>
            <wp:effectExtent l="0" t="0" r="5715" b="0"/>
            <wp:docPr id="1496967161" name="Picture 5" descr="A diagram of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67161" name="Picture 5" descr="A diagram of a triangl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43171" cy="3657600"/>
                    </a:xfrm>
                    <a:prstGeom prst="rect">
                      <a:avLst/>
                    </a:prstGeom>
                  </pic:spPr>
                </pic:pic>
              </a:graphicData>
            </a:graphic>
          </wp:inline>
        </w:drawing>
      </w:r>
    </w:p>
    <w:p w14:paraId="615F956D" w14:textId="5534B6DE" w:rsidR="00954E26" w:rsidRDefault="00954E26" w:rsidP="00954E26">
      <w:pPr>
        <w:jc w:val="center"/>
      </w:pPr>
      <w:r>
        <w:t>Figure 4. Brookline Correlation Plot</w:t>
      </w:r>
    </w:p>
    <w:p w14:paraId="6CDEE70C" w14:textId="03FD3C39" w:rsidR="00954E26" w:rsidRDefault="00954E26" w:rsidP="00954E26">
      <w:pPr>
        <w:jc w:val="center"/>
      </w:pPr>
      <w:r>
        <w:rPr>
          <w:noProof/>
        </w:rPr>
        <w:lastRenderedPageBreak/>
        <w:drawing>
          <wp:inline distT="0" distB="0" distL="0" distR="0" wp14:anchorId="24FBFFC5" wp14:editId="5065E18F">
            <wp:extent cx="5843171" cy="3657600"/>
            <wp:effectExtent l="0" t="0" r="5715" b="0"/>
            <wp:docPr id="755508978" name="Picture 6" descr="A diagram of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08978" name="Picture 6" descr="A diagram of a triangl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43171" cy="3657600"/>
                    </a:xfrm>
                    <a:prstGeom prst="rect">
                      <a:avLst/>
                    </a:prstGeom>
                  </pic:spPr>
                </pic:pic>
              </a:graphicData>
            </a:graphic>
          </wp:inline>
        </w:drawing>
      </w:r>
    </w:p>
    <w:p w14:paraId="6F19EB09" w14:textId="5883E266" w:rsidR="00954E26" w:rsidRDefault="00954E26" w:rsidP="00954E26">
      <w:pPr>
        <w:jc w:val="center"/>
      </w:pPr>
      <w:r>
        <w:t>Figure 5. Milton Correlation Plot</w:t>
      </w:r>
    </w:p>
    <w:p w14:paraId="257C307B" w14:textId="3964E7B5" w:rsidR="00A40888" w:rsidRDefault="002B7E8F" w:rsidP="002B7E8F">
      <w:r>
        <w:t xml:space="preserve">While there was an insufficient number of data points to properly conduct a Bartlett test on the Milton data, Brookline had p-value of 0 on the Bartlett test, and both had </w:t>
      </w:r>
      <w:r w:rsidRPr="002B7E8F">
        <w:t>Kaiser-Meyer-Olkin</w:t>
      </w:r>
      <w:r>
        <w:t xml:space="preserve"> values greater than or equal to 0.5. Based on these findings,</w:t>
      </w:r>
      <w:r w:rsidR="00A40888">
        <w:t xml:space="preserve"> I opted to conduct a Principal Components Analysis</w:t>
      </w:r>
      <w:r w:rsidR="00334BD7">
        <w:t xml:space="preserve"> (PCA)</w:t>
      </w:r>
      <w:r w:rsidR="00A40888">
        <w:t xml:space="preserve">. </w:t>
      </w:r>
      <w:r>
        <w:t xml:space="preserve">This decision also followed the methodology of Lincoln et al. in their analysis of the results of municipal elections </w:t>
      </w:r>
      <w:r>
        <w:fldChar w:fldCharType="begin"/>
      </w:r>
      <w:r>
        <w:instrText xml:space="preserve"> ADDIN ZOTERO_ITEM CSL_CITATION {"citationID":"durVoNJO","properties":{"formattedCitation":"[8]","plainCitation":"[8]","noteIndex":0},"citationItems":[{"id":480,"uris":["http://zotero.org/users/5661670/items/LXHXUG3B"],"itemData":{"id":480,"type":"article-journal","abstract":"[This paper uses Principal Components analysis to investigate voting, particularly voting for the Scottish Nationalist Party, in 84 municipal wards of four Scottish cities-Aberdeen, Dundee, Edinburgh and Glasgow.]","archive":"JSTOR","container-title":"Journal of the Royal Statistical Society. Series D (The Statistician)","DOI":"10.2307/2986987","ISSN":"00390526, 14679884","issue":"4","note":"publisher: [Royal Statistical Society, Wiley]","page":"73-88","title":"An Application of Principal Components Analysis to Voting in Scottish Municipal Elections 1967-9","volume":"20","author":[{"family":"Lincoln","given":"S. V."},{"family":"Piepe","given":"Anthony"},{"family":"Prior","given":"R."}],"issued":{"date-parts":[["1971"]]}}}],"schema":"https://github.com/citation-style-language/schema/raw/master/csl-citation.json"} </w:instrText>
      </w:r>
      <w:r>
        <w:fldChar w:fldCharType="separate"/>
      </w:r>
      <w:r w:rsidRPr="002B7E8F">
        <w:rPr>
          <w:rFonts w:ascii="Aptos" w:hAnsi="Aptos"/>
        </w:rPr>
        <w:t>[8]</w:t>
      </w:r>
      <w:r>
        <w:fldChar w:fldCharType="end"/>
      </w:r>
      <w:r>
        <w:t>.</w:t>
      </w:r>
    </w:p>
    <w:p w14:paraId="6DF0F96D" w14:textId="77777777" w:rsidR="00954E26" w:rsidRDefault="00900695" w:rsidP="00954E26">
      <w:r>
        <w:t xml:space="preserve">I preformed the PCA using varimax rotation. Taking the components with eigenvalues greater than 1 generated four components for each town (see figures </w:t>
      </w:r>
      <w:r w:rsidR="00BC3E8A">
        <w:t>6</w:t>
      </w:r>
      <w:r>
        <w:t xml:space="preserve"> and </w:t>
      </w:r>
      <w:r w:rsidR="00BC3E8A">
        <w:t>7</w:t>
      </w:r>
      <w:r>
        <w:t>).</w:t>
      </w:r>
      <w:r w:rsidR="00BC3E8A">
        <w:t xml:space="preserve"> </w:t>
      </w:r>
      <w:r>
        <w:t xml:space="preserve"> </w:t>
      </w:r>
    </w:p>
    <w:p w14:paraId="4FB67503" w14:textId="00AA75B6" w:rsidR="00954E26" w:rsidRDefault="00954E26" w:rsidP="00954E26">
      <w:pPr>
        <w:jc w:val="center"/>
      </w:pPr>
      <w:r>
        <w:rPr>
          <w:noProof/>
        </w:rPr>
        <w:lastRenderedPageBreak/>
        <w:drawing>
          <wp:inline distT="0" distB="0" distL="0" distR="0" wp14:anchorId="2672762D" wp14:editId="7D5FBF67">
            <wp:extent cx="5943600" cy="3721735"/>
            <wp:effectExtent l="0" t="0" r="0" b="0"/>
            <wp:docPr id="781784850" name="Picture 7"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84850" name="Picture 7" descr="A graph of a numb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3721735"/>
                    </a:xfrm>
                    <a:prstGeom prst="rect">
                      <a:avLst/>
                    </a:prstGeom>
                  </pic:spPr>
                </pic:pic>
              </a:graphicData>
            </a:graphic>
          </wp:inline>
        </w:drawing>
      </w:r>
    </w:p>
    <w:p w14:paraId="4D009CA5" w14:textId="0C91EEA1" w:rsidR="00954E26" w:rsidRDefault="00954E26" w:rsidP="00954E26">
      <w:pPr>
        <w:jc w:val="center"/>
      </w:pPr>
      <w:r>
        <w:t>Figure. 6 Eigenvalues of Brookline Principle Components</w:t>
      </w:r>
    </w:p>
    <w:p w14:paraId="417013E6" w14:textId="4C8955AD" w:rsidR="00954E26" w:rsidRDefault="00954E26" w:rsidP="00954E26">
      <w:pPr>
        <w:jc w:val="center"/>
      </w:pPr>
      <w:r>
        <w:rPr>
          <w:noProof/>
        </w:rPr>
        <w:drawing>
          <wp:inline distT="0" distB="0" distL="0" distR="0" wp14:anchorId="4BA89D0C" wp14:editId="448B563A">
            <wp:extent cx="5943600" cy="3721735"/>
            <wp:effectExtent l="0" t="0" r="0" b="0"/>
            <wp:docPr id="1230672705" name="Picture 8" descr="A graph with a line and dot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72705" name="Picture 8" descr="A graph with a line and dot lin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943600" cy="3721735"/>
                    </a:xfrm>
                    <a:prstGeom prst="rect">
                      <a:avLst/>
                    </a:prstGeom>
                  </pic:spPr>
                </pic:pic>
              </a:graphicData>
            </a:graphic>
          </wp:inline>
        </w:drawing>
      </w:r>
    </w:p>
    <w:p w14:paraId="693ACCB9" w14:textId="6D6CF828" w:rsidR="00954E26" w:rsidRDefault="00954E26" w:rsidP="00954E26">
      <w:pPr>
        <w:jc w:val="center"/>
      </w:pPr>
      <w:r>
        <w:t xml:space="preserve">Figure. </w:t>
      </w:r>
      <w:r>
        <w:t>7</w:t>
      </w:r>
      <w:r>
        <w:t xml:space="preserve"> Eigenvalues of </w:t>
      </w:r>
      <w:r>
        <w:t>Milton</w:t>
      </w:r>
      <w:r>
        <w:t xml:space="preserve"> Principle Components</w:t>
      </w:r>
    </w:p>
    <w:p w14:paraId="7FD353C2" w14:textId="77777777" w:rsidR="00954E26" w:rsidRDefault="00954E26" w:rsidP="00954E26">
      <w:pPr>
        <w:jc w:val="center"/>
      </w:pPr>
    </w:p>
    <w:p w14:paraId="20D38116" w14:textId="509DC5B4" w:rsidR="00954E26" w:rsidRDefault="00147F1D" w:rsidP="00954E26">
      <w:r>
        <w:t>These components explained 89.9% of the variance in Milton and 89.3% of the variance in Brookline, respectively (see tables 1 and 2).</w:t>
      </w:r>
    </w:p>
    <w:p w14:paraId="579FAF29" w14:textId="3AB4A10E" w:rsidR="00A43CD7" w:rsidRPr="00A43CD7" w:rsidRDefault="00A43CD7" w:rsidP="00A43CD7">
      <w:pPr>
        <w:shd w:val="clear" w:color="auto" w:fill="FFFFFF"/>
        <w:tabs>
          <w:tab w:val="left" w:pos="916"/>
          <w:tab w:val="left" w:pos="1832"/>
          <w:tab w:val="left" w:pos="27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kern w:val="0"/>
          <w:sz w:val="20"/>
          <w:szCs w:val="20"/>
          <w:bdr w:val="none" w:sz="0" w:space="0" w:color="auto" w:frame="1"/>
          <w14:ligatures w14:val="none"/>
        </w:rPr>
      </w:pPr>
      <w:r>
        <w:rPr>
          <w:rFonts w:ascii="Lucida Console" w:eastAsia="Times New Roman" w:hAnsi="Lucida Console" w:cs="Courier New"/>
          <w:color w:val="000000"/>
          <w:kern w:val="0"/>
          <w:sz w:val="20"/>
          <w:szCs w:val="20"/>
          <w:bdr w:val="none" w:sz="0" w:space="0" w:color="auto" w:frame="1"/>
          <w14:ligatures w14:val="none"/>
        </w:rPr>
        <w:tab/>
      </w:r>
      <w:r>
        <w:rPr>
          <w:rFonts w:ascii="Lucida Console" w:eastAsia="Times New Roman" w:hAnsi="Lucida Console" w:cs="Courier New"/>
          <w:color w:val="000000"/>
          <w:kern w:val="0"/>
          <w:sz w:val="20"/>
          <w:szCs w:val="20"/>
          <w:bdr w:val="none" w:sz="0" w:space="0" w:color="auto" w:frame="1"/>
          <w14:ligatures w14:val="none"/>
        </w:rPr>
        <w:tab/>
      </w:r>
      <w:r>
        <w:rPr>
          <w:rFonts w:ascii="Lucida Console" w:eastAsia="Times New Roman" w:hAnsi="Lucida Console" w:cs="Courier New"/>
          <w:color w:val="000000"/>
          <w:kern w:val="0"/>
          <w:sz w:val="20"/>
          <w:szCs w:val="20"/>
          <w:bdr w:val="none" w:sz="0" w:space="0" w:color="auto" w:frame="1"/>
          <w14:ligatures w14:val="none"/>
        </w:rPr>
        <w:tab/>
      </w:r>
      <w:r>
        <w:rPr>
          <w:rFonts w:ascii="Lucida Console" w:eastAsia="Times New Roman" w:hAnsi="Lucida Console" w:cs="Courier New"/>
          <w:color w:val="000000"/>
          <w:kern w:val="0"/>
          <w:sz w:val="20"/>
          <w:szCs w:val="20"/>
          <w:bdr w:val="none" w:sz="0" w:space="0" w:color="auto" w:frame="1"/>
          <w14:ligatures w14:val="none"/>
        </w:rPr>
        <w:tab/>
        <w:t xml:space="preserve">    </w:t>
      </w:r>
      <w:r w:rsidRPr="00A43CD7">
        <w:rPr>
          <w:rFonts w:ascii="Lucida Console" w:eastAsia="Times New Roman" w:hAnsi="Lucida Console" w:cs="Courier New"/>
          <w:color w:val="000000"/>
          <w:kern w:val="0"/>
          <w:sz w:val="20"/>
          <w:szCs w:val="20"/>
          <w:bdr w:val="none" w:sz="0" w:space="0" w:color="auto" w:frame="1"/>
          <w14:ligatures w14:val="none"/>
        </w:rPr>
        <w:t xml:space="preserve">RC1    RC3    RC2    RC4   </w:t>
      </w:r>
    </w:p>
    <w:p w14:paraId="240F8B71"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PercPubTrans   0.775 -0.270  0.395 -0.333</w:t>
      </w:r>
    </w:p>
    <w:p w14:paraId="036535D6"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PercRetAge    -0.538 -0.175         0.755</w:t>
      </w:r>
    </w:p>
    <w:p w14:paraId="5CCF06AB"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PercWhite                    0.947  0.204</w:t>
      </w:r>
    </w:p>
    <w:p w14:paraId="0D3FA33E"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PercBlack      0.166 -0.873  0.226  0.257</w:t>
      </w:r>
    </w:p>
    <w:p w14:paraId="5D66422F"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 xml:space="preserve">PercAsian             0.157 -0.960       </w:t>
      </w:r>
    </w:p>
    <w:p w14:paraId="3705FBE9"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PercLat       -0.103 -0.137 -0.228 -0.918</w:t>
      </w:r>
    </w:p>
    <w:p w14:paraId="7B9DF6A1"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PercBach.     -0.317  0.760         0.185</w:t>
      </w:r>
    </w:p>
    <w:p w14:paraId="760B6849"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PercVac        0.532 -0.445 -0.525 -0.114</w:t>
      </w:r>
    </w:p>
    <w:p w14:paraId="2EACA4A4"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 xml:space="preserve">PercRentOcc    0.894 -0.389              </w:t>
      </w:r>
    </w:p>
    <w:p w14:paraId="3035059D"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 xml:space="preserve">Perc30.minCom -0.381  0.774              </w:t>
      </w:r>
    </w:p>
    <w:p w14:paraId="7D25304C"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PopDen         0.932 -0.139  0.165  0.210</w:t>
      </w:r>
    </w:p>
    <w:p w14:paraId="16BAD2C4"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MedHoInc      -0.815  0.515  0.115  0.154</w:t>
      </w:r>
    </w:p>
    <w:p w14:paraId="1834661F"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MedRent       -0.859  0.321  0.210  0.185</w:t>
      </w:r>
    </w:p>
    <w:p w14:paraId="2D3E8097"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p>
    <w:p w14:paraId="51D7E5B7"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 xml:space="preserve">                 RC1   RC3   RC2   RC4</w:t>
      </w:r>
    </w:p>
    <w:p w14:paraId="6294748C"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SS loadings    4.529 2.825 2.454 1.795</w:t>
      </w:r>
    </w:p>
    <w:p w14:paraId="7447FB3E" w14:textId="77777777" w:rsidR="00A43CD7" w:rsidRP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Proportion Var 0.348 0.217 0.189 0.138</w:t>
      </w:r>
    </w:p>
    <w:p w14:paraId="087E784E" w14:textId="77777777" w:rsid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r w:rsidRPr="00A43CD7">
        <w:rPr>
          <w:rFonts w:ascii="Lucida Console" w:eastAsia="Times New Roman" w:hAnsi="Lucida Console" w:cs="Courier New"/>
          <w:color w:val="000000"/>
          <w:kern w:val="0"/>
          <w:sz w:val="20"/>
          <w:szCs w:val="20"/>
          <w:bdr w:val="none" w:sz="0" w:space="0" w:color="auto" w:frame="1"/>
          <w14:ligatures w14:val="none"/>
        </w:rPr>
        <w:t>Cumulative Var 0.348 0.566 0.754 0.893</w:t>
      </w:r>
    </w:p>
    <w:p w14:paraId="13FEA2C5" w14:textId="77777777" w:rsid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rPr>
          <w:rFonts w:ascii="Lucida Console" w:eastAsia="Times New Roman" w:hAnsi="Lucida Console" w:cs="Courier New"/>
          <w:color w:val="000000"/>
          <w:kern w:val="0"/>
          <w:sz w:val="20"/>
          <w:szCs w:val="20"/>
          <w:bdr w:val="none" w:sz="0" w:space="0" w:color="auto" w:frame="1"/>
          <w14:ligatures w14:val="none"/>
        </w:rPr>
      </w:pPr>
    </w:p>
    <w:p w14:paraId="4C28E141" w14:textId="408F847B" w:rsid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eastAsia="Times New Roman" w:cs="Courier New"/>
          <w:color w:val="000000"/>
          <w:kern w:val="0"/>
          <w:bdr w:val="none" w:sz="0" w:space="0" w:color="auto" w:frame="1"/>
          <w14:ligatures w14:val="none"/>
        </w:rPr>
      </w:pPr>
      <w:r w:rsidRPr="00A43CD7">
        <w:rPr>
          <w:rFonts w:eastAsia="Times New Roman" w:cs="Courier New"/>
          <w:color w:val="000000"/>
          <w:kern w:val="0"/>
          <w:bdr w:val="none" w:sz="0" w:space="0" w:color="auto" w:frame="1"/>
          <w14:ligatures w14:val="none"/>
        </w:rPr>
        <w:t>Table 1. Brookline PCA Loadings</w:t>
      </w:r>
    </w:p>
    <w:p w14:paraId="3831964E" w14:textId="77777777" w:rsidR="00A43CD7" w:rsidRDefault="00A43CD7" w:rsidP="00A43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2250"/>
        <w:jc w:val="center"/>
        <w:rPr>
          <w:rFonts w:eastAsia="Times New Roman" w:cs="Courier New"/>
          <w:color w:val="000000"/>
          <w:kern w:val="0"/>
          <w:bdr w:val="none" w:sz="0" w:space="0" w:color="auto" w:frame="1"/>
          <w14:ligatures w14:val="none"/>
        </w:rPr>
      </w:pPr>
    </w:p>
    <w:p w14:paraId="009F1AB9" w14:textId="64C37D8E"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              </w:t>
      </w:r>
      <w:r>
        <w:rPr>
          <w:rStyle w:val="gnvwddmdn3b"/>
          <w:rFonts w:ascii="Lucida Console" w:eastAsiaTheme="majorEastAsia" w:hAnsi="Lucida Console"/>
          <w:color w:val="000000"/>
          <w:bdr w:val="none" w:sz="0" w:space="0" w:color="auto" w:frame="1"/>
        </w:rPr>
        <w:t xml:space="preserve">  </w:t>
      </w:r>
      <w:r>
        <w:rPr>
          <w:rStyle w:val="gnvwddmdn3b"/>
          <w:rFonts w:ascii="Lucida Console" w:eastAsiaTheme="majorEastAsia" w:hAnsi="Lucida Console"/>
          <w:color w:val="000000"/>
          <w:bdr w:val="none" w:sz="0" w:space="0" w:color="auto" w:frame="1"/>
        </w:rPr>
        <w:t xml:space="preserve">RC1    RC2    RC3    RC4   </w:t>
      </w:r>
    </w:p>
    <w:p w14:paraId="72D0CA60"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PercPubTrans   0.826  0.115  0.368  0.374</w:t>
      </w:r>
    </w:p>
    <w:p w14:paraId="4EF0B44B"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PercRetAge                  -0.926  0.105</w:t>
      </w:r>
    </w:p>
    <w:p w14:paraId="03418A86"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PercWhite     -0.968 -0.155              </w:t>
      </w:r>
    </w:p>
    <w:p w14:paraId="046BF207"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PercBlack      0.871  0.448              </w:t>
      </w:r>
    </w:p>
    <w:p w14:paraId="3C30A4A0"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PercAsian            -0.965 -0.107 -0.134</w:t>
      </w:r>
    </w:p>
    <w:p w14:paraId="312873CB"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PercLat        0.703  0.538 -0.353  0.252</w:t>
      </w:r>
    </w:p>
    <w:p w14:paraId="77EF0FF4"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PercBach.     -0.881  0.409  0.172       </w:t>
      </w:r>
    </w:p>
    <w:p w14:paraId="29440259"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PercVac        0.116                0.932</w:t>
      </w:r>
    </w:p>
    <w:p w14:paraId="311AC9CE"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PercRentOcc    0.613 -0.281  0.313  0.542</w:t>
      </w:r>
    </w:p>
    <w:p w14:paraId="6BBCA386"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Perc30.minCom  0.793 -0.148  0.110  0.102</w:t>
      </w:r>
    </w:p>
    <w:p w14:paraId="3EDA34A8"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PopDen         0.599  0.194  0.671  0.327</w:t>
      </w:r>
    </w:p>
    <w:p w14:paraId="5422D6F0"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MedHoInc      -0.123  0.930              </w:t>
      </w:r>
    </w:p>
    <w:p w14:paraId="579CA115"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MedRent       -0.180 -0.848              </w:t>
      </w:r>
    </w:p>
    <w:p w14:paraId="2EDC920C"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p>
    <w:p w14:paraId="5EDBB405"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                 RC1   RC2   RC3   RC4</w:t>
      </w:r>
    </w:p>
    <w:p w14:paraId="2D95FF9B"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SS loadings    5.075 3.353 1.739 1.526</w:t>
      </w:r>
    </w:p>
    <w:p w14:paraId="6E7BA457"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Proportion Var 0.390 0.258 0.134 0.117</w:t>
      </w:r>
    </w:p>
    <w:p w14:paraId="185C7EF1" w14:textId="77777777" w:rsidR="00A43CD7" w:rsidRDefault="00A43CD7" w:rsidP="00A43CD7">
      <w:pPr>
        <w:pStyle w:val="HTMLPreformatted"/>
        <w:shd w:val="clear" w:color="auto" w:fill="FFFFFF"/>
        <w:wordWrap w:val="0"/>
        <w:ind w:left="225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Cumulative Var 0.390 0.648 0.782 0.899</w:t>
      </w:r>
    </w:p>
    <w:p w14:paraId="372BA070" w14:textId="77777777" w:rsidR="00A43CD7" w:rsidRDefault="00A43CD7" w:rsidP="00A43CD7">
      <w:pPr>
        <w:pStyle w:val="HTMLPreformatted"/>
        <w:shd w:val="clear" w:color="auto" w:fill="FFFFFF"/>
        <w:wordWrap w:val="0"/>
        <w:jc w:val="center"/>
        <w:rPr>
          <w:rStyle w:val="gnvwddmdn3b"/>
          <w:rFonts w:ascii="Lucida Console" w:eastAsiaTheme="majorEastAsia" w:hAnsi="Lucida Console"/>
          <w:color w:val="000000"/>
          <w:bdr w:val="none" w:sz="0" w:space="0" w:color="auto" w:frame="1"/>
        </w:rPr>
      </w:pPr>
    </w:p>
    <w:p w14:paraId="24CC65B0" w14:textId="19BA9177" w:rsidR="00954E26" w:rsidRDefault="00A43CD7" w:rsidP="00A43CD7">
      <w:pPr>
        <w:pStyle w:val="HTMLPreformatted"/>
        <w:shd w:val="clear" w:color="auto" w:fill="FFFFFF"/>
        <w:wordWrap w:val="0"/>
        <w:jc w:val="center"/>
        <w:rPr>
          <w:rStyle w:val="gnvwddmdn3b"/>
          <w:rFonts w:asciiTheme="minorHAnsi" w:eastAsiaTheme="majorEastAsia" w:hAnsiTheme="minorHAnsi"/>
          <w:color w:val="000000"/>
          <w:sz w:val="24"/>
          <w:szCs w:val="24"/>
          <w:bdr w:val="none" w:sz="0" w:space="0" w:color="auto" w:frame="1"/>
        </w:rPr>
      </w:pPr>
      <w:r>
        <w:rPr>
          <w:rStyle w:val="gnvwddmdn3b"/>
          <w:rFonts w:asciiTheme="minorHAnsi" w:eastAsiaTheme="majorEastAsia" w:hAnsiTheme="minorHAnsi"/>
          <w:color w:val="000000"/>
          <w:sz w:val="24"/>
          <w:szCs w:val="24"/>
          <w:bdr w:val="none" w:sz="0" w:space="0" w:color="auto" w:frame="1"/>
        </w:rPr>
        <w:t>Table 2. Milton PCA Loadings</w:t>
      </w:r>
    </w:p>
    <w:p w14:paraId="5FE51CB5" w14:textId="77777777" w:rsidR="00A43CD7" w:rsidRPr="00A43CD7" w:rsidRDefault="00A43CD7" w:rsidP="00A43CD7">
      <w:pPr>
        <w:pStyle w:val="HTMLPreformatted"/>
        <w:shd w:val="clear" w:color="auto" w:fill="FFFFFF"/>
        <w:wordWrap w:val="0"/>
        <w:jc w:val="center"/>
        <w:rPr>
          <w:rFonts w:asciiTheme="minorHAnsi" w:hAnsiTheme="minorHAnsi"/>
          <w:color w:val="000000"/>
          <w:sz w:val="24"/>
          <w:szCs w:val="24"/>
        </w:rPr>
      </w:pPr>
    </w:p>
    <w:p w14:paraId="22529C18" w14:textId="5571B2CC" w:rsidR="00997FC2" w:rsidRDefault="00334BD7" w:rsidP="00997FC2">
      <w:r>
        <w:t>Next</w:t>
      </w:r>
      <w:r>
        <w:t>, I created an</w:t>
      </w:r>
      <w:r w:rsidR="00E70E9A">
        <w:t xml:space="preserve"> Ordinary Least Squares</w:t>
      </w:r>
      <w:r>
        <w:t xml:space="preserve"> (OLS) </w:t>
      </w:r>
      <w:r w:rsidR="00E70E9A">
        <w:t>regression model</w:t>
      </w:r>
      <w:r>
        <w:t xml:space="preserve"> for each town using its components as the inputs. </w:t>
      </w:r>
      <w:r>
        <w:t>I based this decision on the work of Iglesias-Pascual et al. who showed that OLS models provided greater in</w:t>
      </w:r>
      <w:r w:rsidR="00086A76">
        <w:t>ter</w:t>
      </w:r>
      <w:r>
        <w:t xml:space="preserve">pretability of voting drivers than the Durbin spatial regression they were compared to </w:t>
      </w:r>
      <w:r>
        <w:fldChar w:fldCharType="begin"/>
      </w:r>
      <w:r w:rsidR="00E70E9A">
        <w:instrText xml:space="preserve"> ADDIN ZOTERO_ITEM CSL_CITATION {"citationID":"HLIZv8jY","properties":{"formattedCitation":"[9]","plainCitation":"[9]","noteIndex":0},"citationItems":[{"id":479,"uris":["http://zotero.org/users/5661670/items/764XLJYJ"],"itemData":{"id":479,"type":"article-journal","abstract":"This study analyzes at a local level (i.e. census tract) the spatial patterns and main contextual factors related to the electoral resurgence of the extreme-right party (VOX) in Southern Spain (Andalusia) in 2018 and 2019. The 2019 electoral data was associated with the percentage of total foreign-born population, degree of territorial concentration of economic migrants, average income level, percentage of elderly people, urban/rural areas and the percentage of vote for VOX in 2018 (t</w:instrText>
      </w:r>
      <w:r w:rsidR="00E70E9A">
        <w:rPr>
          <w:rFonts w:ascii="Arial" w:hAnsi="Arial" w:cs="Arial"/>
        </w:rPr>
        <w:instrText> </w:instrText>
      </w:r>
      <w:r w:rsidR="00E70E9A">
        <w:rPr>
          <w:rFonts w:ascii="Aptos" w:hAnsi="Aptos" w:cs="Aptos"/>
        </w:rPr>
        <w:instrText>−</w:instrText>
      </w:r>
      <w:r w:rsidR="00E70E9A">
        <w:rPr>
          <w:rFonts w:ascii="Arial" w:hAnsi="Arial" w:cs="Arial"/>
        </w:rPr>
        <w:instrText> </w:instrText>
      </w:r>
      <w:r w:rsidR="00E70E9A">
        <w:instrText xml:space="preserve">1). We used a global and local spatial autocorrelation analysis to detect the spatial patterns of the vote for VOX and a spatial Durbin regression model to assess the role of contextual variables and spatial effects. The results underline the importance of space in modelling the vote for VOX and point to the existence of a spatial diffusion process. Previous electoral behavior and the urban milieu also play key roles in explaining the vote for VOX. Moreover, the territorial concentration of economic migrants is negatively related with the vote for VOX, which illustrates the positive character of interracial contact.","container-title":"Spatial Demography","DOI":"10.1007/s40980-022-00105-1","ISSN":"2164-7070","issue":"1","journalAbbreviation":"Spatial Demography","page":"117-141","title":"A Spatial Approach to the Study of the Electoral Resurgence of the Extreme Right in Southern Spain","volume":"10","author":[{"family":"Iglesias-Pascual","given":"Ricardo"},{"family":"Benassi","given":"Federico"},{"family":"Paloma","given":"Virginia"}],"issued":{"date-parts":[["2022",4,1]]}}}],"schema":"https://github.com/citation-style-language/schema/raw/master/csl-citation.json"} </w:instrText>
      </w:r>
      <w:r>
        <w:fldChar w:fldCharType="separate"/>
      </w:r>
      <w:r w:rsidR="00E70E9A" w:rsidRPr="00E70E9A">
        <w:rPr>
          <w:rFonts w:ascii="Aptos" w:hAnsi="Aptos"/>
        </w:rPr>
        <w:t>[9]</w:t>
      </w:r>
      <w:r>
        <w:fldChar w:fldCharType="end"/>
      </w:r>
      <w:r>
        <w:t>.</w:t>
      </w:r>
      <w:r w:rsidR="00AA3AA1">
        <w:t xml:space="preserve"> The Milton OLS model described 85.3% of the variance in zoning opposition, but only one coefficient was significant. This component which had a p-value of less than 0.01, seemed to correspond to precincts with a low Asian population, high median income, and low median rent, and was </w:t>
      </w:r>
      <w:r w:rsidR="00997FC2">
        <w:t xml:space="preserve">moderately negatively </w:t>
      </w:r>
      <w:r w:rsidR="00997FC2">
        <w:lastRenderedPageBreak/>
        <w:t>associated with percentage of votes in opposition (accounting for about a 3.8% difference). The Brookline OLS model was much less effective, describing only 41.4% of the variance and having no significant component coefficients.</w:t>
      </w:r>
    </w:p>
    <w:p w14:paraId="3CD5D06A" w14:textId="0F8BADD0" w:rsidR="002A7CBF" w:rsidRDefault="00997FC2" w:rsidP="002A7CBF">
      <w:r>
        <w:t>In the interest of seeing if I could develop a less town specific model that could perhaps be used to indicate which remaining towns would be most likely to oppose compliant zoning in the future, I pooled the data from Milton and Brookline and created a joint PCA-based OLS model</w:t>
      </w:r>
      <w:r w:rsidR="001941A8">
        <w:t>s</w:t>
      </w:r>
      <w:r>
        <w:t>. This model consisted of 3 components that described 7</w:t>
      </w:r>
      <w:r w:rsidR="00A43CD7">
        <w:t>8</w:t>
      </w:r>
      <w:r>
        <w:t>.</w:t>
      </w:r>
      <w:r w:rsidR="00A43CD7">
        <w:t>2</w:t>
      </w:r>
      <w:r>
        <w:t>% of the variance (see table 3).</w:t>
      </w:r>
      <w:r w:rsidR="00FB072A">
        <w:t xml:space="preserve"> </w:t>
      </w:r>
    </w:p>
    <w:p w14:paraId="7F0960DE" w14:textId="44892BE6"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              </w:t>
      </w:r>
      <w:r>
        <w:rPr>
          <w:rStyle w:val="gnvwddmdn3b"/>
          <w:rFonts w:ascii="Lucida Console" w:eastAsiaTheme="majorEastAsia" w:hAnsi="Lucida Console"/>
          <w:color w:val="000000"/>
          <w:bdr w:val="none" w:sz="0" w:space="0" w:color="auto" w:frame="1"/>
        </w:rPr>
        <w:t xml:space="preserve">  </w:t>
      </w:r>
      <w:r>
        <w:rPr>
          <w:rStyle w:val="gnvwddmdn3b"/>
          <w:rFonts w:ascii="Lucida Console" w:eastAsiaTheme="majorEastAsia" w:hAnsi="Lucida Console"/>
          <w:color w:val="000000"/>
          <w:bdr w:val="none" w:sz="0" w:space="0" w:color="auto" w:frame="1"/>
        </w:rPr>
        <w:t xml:space="preserve">RC1    RC3    RC2   </w:t>
      </w:r>
    </w:p>
    <w:p w14:paraId="25D62620"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PercPubTrans   0.713  0.425  0.386</w:t>
      </w:r>
    </w:p>
    <w:p w14:paraId="23816EAC"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PercRetAge    -0.449              </w:t>
      </w:r>
    </w:p>
    <w:p w14:paraId="377F762E"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PercWhite             0.154 -0.938</w:t>
      </w:r>
    </w:p>
    <w:p w14:paraId="2FE5974E"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PercBlack     -0.192 -0.775  0.548</w:t>
      </w:r>
    </w:p>
    <w:p w14:paraId="15EA67F3"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PercAsian      0.300  0.770  0.151</w:t>
      </w:r>
    </w:p>
    <w:p w14:paraId="5CA29C3C"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PercLat        0.217  0.268  0.798</w:t>
      </w:r>
    </w:p>
    <w:p w14:paraId="65508429"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PercBach.      0.236  0.906       </w:t>
      </w:r>
    </w:p>
    <w:p w14:paraId="5CEAF4FB"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PercVac        0.761  0.206  0.251</w:t>
      </w:r>
    </w:p>
    <w:p w14:paraId="3CC52417"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PercRentOcc    0.822  0.480  0.193</w:t>
      </w:r>
    </w:p>
    <w:p w14:paraId="72065733"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Perc30.minCom -0.729 -0.366  0.147</w:t>
      </w:r>
    </w:p>
    <w:p w14:paraId="784C3F5A"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PopDen         0.805  0.400       </w:t>
      </w:r>
    </w:p>
    <w:p w14:paraId="20275B67"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MedHoInc      -0.935              </w:t>
      </w:r>
    </w:p>
    <w:p w14:paraId="20EA5410"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MedRent               0.954       </w:t>
      </w:r>
    </w:p>
    <w:p w14:paraId="58A7B4E4"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p>
    <w:p w14:paraId="34D368D1"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 xml:space="preserve">                 RC1   RC3   RC2</w:t>
      </w:r>
    </w:p>
    <w:p w14:paraId="2D68F989"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SS loadings    4.261 3.777 2.125</w:t>
      </w:r>
    </w:p>
    <w:p w14:paraId="2F39CDEB"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Proportion Var 0.328 0.291 0.163</w:t>
      </w:r>
    </w:p>
    <w:p w14:paraId="579D7F58"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r>
        <w:rPr>
          <w:rStyle w:val="gnvwddmdn3b"/>
          <w:rFonts w:ascii="Lucida Console" w:eastAsiaTheme="majorEastAsia" w:hAnsi="Lucida Console"/>
          <w:color w:val="000000"/>
          <w:bdr w:val="none" w:sz="0" w:space="0" w:color="auto" w:frame="1"/>
        </w:rPr>
        <w:t>Cumulative Var 0.328 0.618 0.782</w:t>
      </w:r>
    </w:p>
    <w:p w14:paraId="3A37E24F" w14:textId="77777777" w:rsidR="002A7CBF" w:rsidRDefault="002A7CBF" w:rsidP="002A7CBF">
      <w:pPr>
        <w:pStyle w:val="HTMLPreformatted"/>
        <w:shd w:val="clear" w:color="auto" w:fill="FFFFFF"/>
        <w:wordWrap w:val="0"/>
        <w:ind w:left="2610"/>
        <w:rPr>
          <w:rStyle w:val="gnvwddmdn3b"/>
          <w:rFonts w:ascii="Lucida Console" w:eastAsiaTheme="majorEastAsia" w:hAnsi="Lucida Console"/>
          <w:color w:val="000000"/>
          <w:bdr w:val="none" w:sz="0" w:space="0" w:color="auto" w:frame="1"/>
        </w:rPr>
      </w:pPr>
    </w:p>
    <w:p w14:paraId="04EBBAA4" w14:textId="0CF1B304" w:rsidR="002A7CBF" w:rsidRDefault="002A7CBF" w:rsidP="002A7CBF">
      <w:pPr>
        <w:pStyle w:val="HTMLPreformatted"/>
        <w:shd w:val="clear" w:color="auto" w:fill="FFFFFF"/>
        <w:tabs>
          <w:tab w:val="left" w:pos="2880"/>
          <w:tab w:val="left" w:pos="2970"/>
        </w:tabs>
        <w:wordWrap w:val="0"/>
        <w:jc w:val="center"/>
        <w:rPr>
          <w:rStyle w:val="gnvwddmdn3b"/>
          <w:rFonts w:asciiTheme="minorHAnsi" w:eastAsiaTheme="majorEastAsia" w:hAnsiTheme="minorHAnsi"/>
          <w:color w:val="000000"/>
          <w:sz w:val="24"/>
          <w:szCs w:val="24"/>
          <w:bdr w:val="none" w:sz="0" w:space="0" w:color="auto" w:frame="1"/>
        </w:rPr>
      </w:pPr>
      <w:r>
        <w:rPr>
          <w:rStyle w:val="gnvwddmdn3b"/>
          <w:rFonts w:asciiTheme="minorHAnsi" w:eastAsiaTheme="majorEastAsia" w:hAnsiTheme="minorHAnsi"/>
          <w:color w:val="000000"/>
          <w:sz w:val="24"/>
          <w:szCs w:val="24"/>
          <w:bdr w:val="none" w:sz="0" w:space="0" w:color="auto" w:frame="1"/>
        </w:rPr>
        <w:t>Table 3. Joint PCA Loadings</w:t>
      </w:r>
    </w:p>
    <w:p w14:paraId="0ECC938F" w14:textId="77777777" w:rsidR="002A7CBF" w:rsidRPr="002A7CBF" w:rsidRDefault="002A7CBF" w:rsidP="002A7CBF">
      <w:pPr>
        <w:pStyle w:val="HTMLPreformatted"/>
        <w:shd w:val="clear" w:color="auto" w:fill="FFFFFF"/>
        <w:tabs>
          <w:tab w:val="left" w:pos="2880"/>
          <w:tab w:val="left" w:pos="2970"/>
        </w:tabs>
        <w:wordWrap w:val="0"/>
        <w:jc w:val="center"/>
        <w:rPr>
          <w:rFonts w:asciiTheme="minorHAnsi" w:hAnsiTheme="minorHAnsi"/>
          <w:color w:val="000000"/>
          <w:sz w:val="24"/>
          <w:szCs w:val="24"/>
        </w:rPr>
      </w:pPr>
    </w:p>
    <w:p w14:paraId="3BD7CDC5" w14:textId="12946530" w:rsidR="00A43CD7" w:rsidRDefault="00FB072A" w:rsidP="002A7CBF">
      <w:r>
        <w:t>It was able to account for 7</w:t>
      </w:r>
      <w:r w:rsidR="00A43CD7">
        <w:t>8</w:t>
      </w:r>
      <w:r>
        <w:t>.</w:t>
      </w:r>
      <w:r w:rsidR="00A43CD7">
        <w:t>3</w:t>
      </w:r>
      <w:r>
        <w:t>% of the variance in Milton opposition and 49.</w:t>
      </w:r>
      <w:r w:rsidR="00A43CD7">
        <w:t>1</w:t>
      </w:r>
      <w:r>
        <w:t>% of the variance in Brookline. The first coefficient was significant at the 0.0</w:t>
      </w:r>
      <w:r w:rsidR="002A7CBF">
        <w:t>5</w:t>
      </w:r>
      <w:r>
        <w:t xml:space="preserve"> level for Brookline, corresponding to a </w:t>
      </w:r>
      <w:r w:rsidR="001941A8">
        <w:t xml:space="preserve">negatively associated </w:t>
      </w:r>
      <w:r>
        <w:t>component capturing</w:t>
      </w:r>
      <w:r w:rsidR="001941A8">
        <w:t xml:space="preserve"> </w:t>
      </w:r>
      <w:r w:rsidR="002A7CBF">
        <w:t xml:space="preserve">young </w:t>
      </w:r>
      <w:r w:rsidR="001941A8">
        <w:t>low-income renters</w:t>
      </w:r>
      <w:r w:rsidR="002A7CBF">
        <w:t xml:space="preserve"> of color</w:t>
      </w:r>
      <w:r w:rsidR="001941A8">
        <w:t>, while the third, corresponding to highly educated, high-rent communities with a larger Asian population, was positively and significantly (p=0.01) associated with opposition in both towns</w:t>
      </w:r>
      <w:r w:rsidR="002A7CBF">
        <w:t xml:space="preserve"> (See figures 8-10)</w:t>
      </w:r>
      <w:r w:rsidR="001941A8">
        <w:t>.</w:t>
      </w:r>
    </w:p>
    <w:p w14:paraId="68B45CE1" w14:textId="1CDEA11A" w:rsidR="002A7CBF" w:rsidRDefault="002A7CBF" w:rsidP="002A7CBF">
      <w:r>
        <w:rPr>
          <w:noProof/>
        </w:rPr>
        <w:drawing>
          <wp:inline distT="0" distB="0" distL="0" distR="0" wp14:anchorId="20699C2B" wp14:editId="6CC18666">
            <wp:extent cx="2921585" cy="1828800"/>
            <wp:effectExtent l="0" t="0" r="0" b="0"/>
            <wp:docPr id="533059931" name="Picture 9" descr="A map of a state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59931" name="Picture 9" descr="A map of a state with different colored area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1585" cy="1828800"/>
                    </a:xfrm>
                    <a:prstGeom prst="rect">
                      <a:avLst/>
                    </a:prstGeom>
                  </pic:spPr>
                </pic:pic>
              </a:graphicData>
            </a:graphic>
          </wp:inline>
        </w:drawing>
      </w:r>
      <w:r>
        <w:rPr>
          <w:noProof/>
        </w:rPr>
        <w:drawing>
          <wp:inline distT="0" distB="0" distL="0" distR="0" wp14:anchorId="23D72D3A" wp14:editId="4A164C21">
            <wp:extent cx="2921585" cy="1828800"/>
            <wp:effectExtent l="0" t="0" r="0" b="0"/>
            <wp:docPr id="1923108955" name="Picture 10" descr="A map of the state of ma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08955" name="Picture 10" descr="A map of the state of main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21585" cy="1828800"/>
                    </a:xfrm>
                    <a:prstGeom prst="rect">
                      <a:avLst/>
                    </a:prstGeom>
                  </pic:spPr>
                </pic:pic>
              </a:graphicData>
            </a:graphic>
          </wp:inline>
        </w:drawing>
      </w:r>
    </w:p>
    <w:p w14:paraId="612DFD86" w14:textId="3115D66D" w:rsidR="002A7CBF" w:rsidRDefault="002A7CBF" w:rsidP="002A7CBF">
      <w:pPr>
        <w:jc w:val="center"/>
      </w:pPr>
      <w:r>
        <w:lastRenderedPageBreak/>
        <w:t>Figure 8-9. Brookline PC1 and PC3 by Precinct</w:t>
      </w:r>
    </w:p>
    <w:p w14:paraId="1AACCC31" w14:textId="26D037DC" w:rsidR="002A7CBF" w:rsidRDefault="002A7CBF" w:rsidP="002A7CBF">
      <w:pPr>
        <w:jc w:val="center"/>
      </w:pPr>
      <w:r>
        <w:rPr>
          <w:noProof/>
        </w:rPr>
        <w:drawing>
          <wp:inline distT="0" distB="0" distL="0" distR="0" wp14:anchorId="1CFBB04A" wp14:editId="479463FF">
            <wp:extent cx="5843171" cy="3657600"/>
            <wp:effectExtent l="0" t="0" r="5715" b="0"/>
            <wp:docPr id="800542724" name="Picture 11"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2724" name="Picture 11" descr="A map of a country&#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43171" cy="3657600"/>
                    </a:xfrm>
                    <a:prstGeom prst="rect">
                      <a:avLst/>
                    </a:prstGeom>
                  </pic:spPr>
                </pic:pic>
              </a:graphicData>
            </a:graphic>
          </wp:inline>
        </w:drawing>
      </w:r>
    </w:p>
    <w:p w14:paraId="36405EEA" w14:textId="5943A80B" w:rsidR="002A7CBF" w:rsidRPr="009D0746" w:rsidRDefault="00302BDF" w:rsidP="00302BDF">
      <w:pPr>
        <w:jc w:val="center"/>
      </w:pPr>
      <w:r>
        <w:t>Figure 10. Milton PC3 by Precinct</w:t>
      </w:r>
    </w:p>
    <w:p w14:paraId="3845DFB7" w14:textId="208F2350" w:rsidR="009D0746" w:rsidRDefault="009D0746" w:rsidP="009D0746">
      <w:pPr>
        <w:pStyle w:val="Heading1"/>
        <w:rPr>
          <w:rFonts w:asciiTheme="minorHAnsi" w:hAnsiTheme="minorHAnsi"/>
          <w:b/>
          <w:bCs/>
          <w:color w:val="auto"/>
          <w:sz w:val="24"/>
          <w:szCs w:val="24"/>
        </w:rPr>
      </w:pPr>
      <w:r w:rsidRPr="009D0746">
        <w:rPr>
          <w:rFonts w:asciiTheme="minorHAnsi" w:hAnsiTheme="minorHAnsi"/>
          <w:b/>
          <w:bCs/>
          <w:color w:val="auto"/>
          <w:sz w:val="24"/>
          <w:szCs w:val="24"/>
        </w:rPr>
        <w:t>Discussion:</w:t>
      </w:r>
    </w:p>
    <w:p w14:paraId="3F066FA2" w14:textId="57E40DB2" w:rsidR="002D6C0B" w:rsidRDefault="007D2FAE" w:rsidP="002D6C0B">
      <w:r>
        <w:t xml:space="preserve">Through my analysis, I found that the variables explaining opposition seemed to vary between Milton and Brookline, perhaps indicating that local factors drive voting outcomes more than generalizable demographic or spatial characteristics. The methods I applied also seemed more applicable to the Milton case than to Brookline. The Milton data seemed to have more spatial characteristics and was also better predicted by the models I produced. </w:t>
      </w:r>
      <w:r w:rsidR="002D6C0B">
        <w:t>Pooling the data did marginally increase the OLS model’s accuracy for the Brookline data, but it still did not capture a useful amount of variance to make me feel comfortable applying such a</w:t>
      </w:r>
      <w:r w:rsidR="002D6C0B">
        <w:t xml:space="preserve">n approach </w:t>
      </w:r>
      <w:r w:rsidR="002D6C0B">
        <w:t xml:space="preserve">to other towns. </w:t>
      </w:r>
    </w:p>
    <w:p w14:paraId="640E9A5B" w14:textId="3B7B5A89" w:rsidR="00AF4C59" w:rsidRDefault="007D2FAE" w:rsidP="00AF4C59">
      <w:r>
        <w:t>Possibly this</w:t>
      </w:r>
      <w:r w:rsidR="002D6C0B">
        <w:t xml:space="preserve"> discrepancy</w:t>
      </w:r>
      <w:r>
        <w:t xml:space="preserve"> was a result of there being fewer data points (Milton has only 10 precincts compared to 17 in Brookline), or that the election there was a ballot initiative with far greater participation than the Town Meeting vote that approved the zoning in Brookline. While the datasets appear comparable, perhaps the different methods of voting play a more significant role.</w:t>
      </w:r>
      <w:r w:rsidR="00AF4C59">
        <w:t xml:space="preserve"> Additionally, it may be that the variables, even though chosen based on the literature, were inappropriate or insufficient for the type of analysis I conducted. Perhaps additional variables would have better captured underlying distributions in the </w:t>
      </w:r>
      <w:r w:rsidR="00AF4C59">
        <w:lastRenderedPageBreak/>
        <w:t>Brookline dataset. Finally, perhaps the way I aggregated the demographic data from census tracts to precincts introduced error that through off the analysis.</w:t>
      </w:r>
    </w:p>
    <w:p w14:paraId="615C506D" w14:textId="25BA0E63" w:rsidR="00B32114" w:rsidRDefault="009D0746" w:rsidP="00AA3AA1">
      <w:pPr>
        <w:pStyle w:val="Heading1"/>
        <w:rPr>
          <w:rFonts w:asciiTheme="minorHAnsi" w:hAnsiTheme="minorHAnsi"/>
          <w:b/>
          <w:bCs/>
          <w:color w:val="auto"/>
          <w:sz w:val="24"/>
          <w:szCs w:val="24"/>
        </w:rPr>
      </w:pPr>
      <w:r w:rsidRPr="009D0746">
        <w:rPr>
          <w:rFonts w:asciiTheme="minorHAnsi" w:hAnsiTheme="minorHAnsi"/>
          <w:b/>
          <w:bCs/>
          <w:color w:val="auto"/>
          <w:sz w:val="24"/>
          <w:szCs w:val="24"/>
        </w:rPr>
        <w:t>Conclusion and Future Work:</w:t>
      </w:r>
    </w:p>
    <w:p w14:paraId="2DA89C64" w14:textId="462E2B81" w:rsidR="00A66F2B" w:rsidRDefault="00A66F2B" w:rsidP="00747520">
      <w:r>
        <w:t>This study at least provides some initial evidence that the drivers of opposition to the MBTA Communities Act may vary from town to town. While I was unable to produce a compelling or generalizable explanation for voter opposition, there is still future work that could extend this project. In particular, I initially contemplated looking at current compliancy status in among all 177 effected communities. At the time, a full dataset did not exist, so I spent hours going through individual town websites in an attempt to compile such a dataset. Ultimately, my success rate at finding the current status was low enough that it didn’t make sense to continue along that avenue for this project. However, yesterday, May 7</w:t>
      </w:r>
      <w:r w:rsidRPr="00A66F2B">
        <w:rPr>
          <w:vertAlign w:val="superscript"/>
        </w:rPr>
        <w:t>th</w:t>
      </w:r>
      <w:r>
        <w:t>, the Boston Globe published that exact dataset</w:t>
      </w:r>
      <w:r w:rsidR="00747520">
        <w:t xml:space="preserve"> </w:t>
      </w:r>
      <w:r w:rsidR="00747520">
        <w:fldChar w:fldCharType="begin"/>
      </w:r>
      <w:r w:rsidR="00747520">
        <w:instrText xml:space="preserve"> ADDIN ZOTERO_ITEM CSL_CITATION {"citationID":"11KKREZn","properties":{"formattedCitation":"[10]","plainCitation":"[10]","noteIndex":0},"citationItems":[{"id":526,"uris":["http://zotero.org/users/5661670/items/XL2DJRD9"],"itemData":{"id":526,"type":"article-newspaper","abstract":"More than 130 communities are working to pass new zoning rules that will make it easier to build multifamily housing, and dozens of local votes are coming this year.","container-title":"The Boston Globe","language":"en-US","title":"Map: Nearly 200 towns must rezone under the MBTA Communities law. Has your town complied? - The Boston Globe","title-short":"Map","URL":"https://www.bostonglobe.com/2024/05/07/business/boston-housing-mbta-communities-law-towns/","author":[{"family":"Brinker","given":"Andrew"},{"family":"An","given":"Kirkland"},{"family":"Christina","given":"Prignano"}],"accessed":{"date-parts":[["2024",5,8]]},"issued":{"date-parts":[["2024",5,7]]}}}],"schema":"https://github.com/citation-style-language/schema/raw/master/csl-citation.json"} </w:instrText>
      </w:r>
      <w:r w:rsidR="00747520">
        <w:fldChar w:fldCharType="separate"/>
      </w:r>
      <w:r w:rsidR="00747520" w:rsidRPr="00747520">
        <w:rPr>
          <w:rFonts w:ascii="Aptos" w:hAnsi="Aptos"/>
        </w:rPr>
        <w:t>[10]</w:t>
      </w:r>
      <w:r w:rsidR="00747520">
        <w:fldChar w:fldCharType="end"/>
      </w:r>
      <w:r>
        <w:t>. Using this new data it might now be possible to see if there is spatial autocorrelation or demographic similarities between towns which oppose the legislation, versus those already in compliance.</w:t>
      </w:r>
    </w:p>
    <w:p w14:paraId="5E581FD1" w14:textId="77777777" w:rsidR="00747520" w:rsidRDefault="00747520" w:rsidP="00A66F2B"/>
    <w:p w14:paraId="4C6BBE36" w14:textId="5C6CEF83" w:rsidR="00747520" w:rsidRDefault="00747520">
      <w:r>
        <w:br w:type="page"/>
      </w:r>
    </w:p>
    <w:p w14:paraId="244CE9A2" w14:textId="77777777" w:rsidR="00747520" w:rsidRPr="00747520" w:rsidRDefault="00747520" w:rsidP="00747520">
      <w:pPr>
        <w:pStyle w:val="Bibliography"/>
        <w:rPr>
          <w:rFonts w:ascii="Aptos" w:hAnsi="Aptos"/>
        </w:rPr>
      </w:pPr>
      <w:r>
        <w:lastRenderedPageBreak/>
        <w:fldChar w:fldCharType="begin"/>
      </w:r>
      <w:r>
        <w:instrText xml:space="preserve"> ADDIN ZOTERO_BIBL {"uncited":[],"omitted":[],"custom":[]} CSL_BIBLIOGRAPHY </w:instrText>
      </w:r>
      <w:r>
        <w:fldChar w:fldCharType="separate"/>
      </w:r>
      <w:r w:rsidRPr="00747520">
        <w:rPr>
          <w:rFonts w:ascii="Aptos" w:hAnsi="Aptos"/>
        </w:rPr>
        <w:t>[1]</w:t>
      </w:r>
      <w:r w:rsidRPr="00747520">
        <w:rPr>
          <w:rFonts w:ascii="Aptos" w:hAnsi="Aptos"/>
        </w:rPr>
        <w:tab/>
        <w:t>“Multi-Family Zoning Requirement for MBTA Communities | Mass.gov.” Accessed: May 08, 2024. [Online]. Available: https://www.mass.gov/info-details/multi-family-zoning-requirement-for-mbta-communities</w:t>
      </w:r>
    </w:p>
    <w:p w14:paraId="35ABA972" w14:textId="77777777" w:rsidR="00747520" w:rsidRPr="00747520" w:rsidRDefault="00747520" w:rsidP="00747520">
      <w:pPr>
        <w:pStyle w:val="Bibliography"/>
        <w:rPr>
          <w:rFonts w:ascii="Aptos" w:hAnsi="Aptos"/>
        </w:rPr>
      </w:pPr>
      <w:r w:rsidRPr="00747520">
        <w:rPr>
          <w:rFonts w:ascii="Aptos" w:hAnsi="Aptos"/>
        </w:rPr>
        <w:t>[2]</w:t>
      </w:r>
      <w:r w:rsidRPr="00747520">
        <w:rPr>
          <w:rFonts w:ascii="Aptos" w:hAnsi="Aptos"/>
        </w:rPr>
        <w:tab/>
        <w:t xml:space="preserve">D. M. Glick, K. L. Einstein, and M. Palmer, Eds., “Who Are the Neighborhood Defenders?,” in </w:t>
      </w:r>
      <w:r w:rsidRPr="00747520">
        <w:rPr>
          <w:rFonts w:ascii="Aptos" w:hAnsi="Aptos"/>
          <w:i/>
          <w:iCs/>
        </w:rPr>
        <w:t>Neighborhood Defenders: Participatory Politics and America’s Housing Crisis</w:t>
      </w:r>
      <w:r w:rsidRPr="00747520">
        <w:rPr>
          <w:rFonts w:ascii="Aptos" w:hAnsi="Aptos"/>
        </w:rPr>
        <w:t>, Cambridge: Cambridge University Press, 2019, pp. 95–114. doi: 10.1017/9781108769495.005.</w:t>
      </w:r>
    </w:p>
    <w:p w14:paraId="159039BB" w14:textId="77777777" w:rsidR="00747520" w:rsidRPr="00747520" w:rsidRDefault="00747520" w:rsidP="00747520">
      <w:pPr>
        <w:pStyle w:val="Bibliography"/>
        <w:rPr>
          <w:rFonts w:ascii="Aptos" w:hAnsi="Aptos"/>
        </w:rPr>
      </w:pPr>
      <w:r w:rsidRPr="00747520">
        <w:rPr>
          <w:rFonts w:ascii="Aptos" w:hAnsi="Aptos"/>
        </w:rPr>
        <w:t>[3]</w:t>
      </w:r>
      <w:r w:rsidRPr="00747520">
        <w:rPr>
          <w:rFonts w:ascii="Aptos" w:hAnsi="Aptos"/>
        </w:rPr>
        <w:tab/>
        <w:t xml:space="preserve">C. Atkinson-Palombo and M. J. Kuby, “The geography of advance transit-oriented development in metropolitan Phoenix, Arizona, 2000–2007,” </w:t>
      </w:r>
      <w:r w:rsidRPr="00747520">
        <w:rPr>
          <w:rFonts w:ascii="Aptos" w:hAnsi="Aptos"/>
          <w:i/>
          <w:iCs/>
        </w:rPr>
        <w:t>Journal of Transport Geography</w:t>
      </w:r>
      <w:r w:rsidRPr="00747520">
        <w:rPr>
          <w:rFonts w:ascii="Aptos" w:hAnsi="Aptos"/>
        </w:rPr>
        <w:t>, vol. 19, no. 2, pp. 189–199, Mar. 2011, doi: 10.1016/j.jtrangeo.2010.03.014.</w:t>
      </w:r>
    </w:p>
    <w:p w14:paraId="59038111" w14:textId="77777777" w:rsidR="00747520" w:rsidRPr="00747520" w:rsidRDefault="00747520" w:rsidP="00747520">
      <w:pPr>
        <w:pStyle w:val="Bibliography"/>
        <w:rPr>
          <w:rFonts w:ascii="Aptos" w:hAnsi="Aptos"/>
        </w:rPr>
      </w:pPr>
      <w:r w:rsidRPr="00747520">
        <w:rPr>
          <w:rFonts w:ascii="Aptos" w:hAnsi="Aptos"/>
        </w:rPr>
        <w:t>[4]</w:t>
      </w:r>
      <w:r w:rsidRPr="00747520">
        <w:rPr>
          <w:rFonts w:ascii="Aptos" w:hAnsi="Aptos"/>
        </w:rPr>
        <w:tab/>
        <w:t>“MassGIS Data: Trains | Mass.gov.” Accessed: May 08, 2024. [Online]. Available: https://www.mass.gov/info-details/massgis-data-trains</w:t>
      </w:r>
    </w:p>
    <w:p w14:paraId="767B439C" w14:textId="77777777" w:rsidR="00747520" w:rsidRPr="00747520" w:rsidRDefault="00747520" w:rsidP="00747520">
      <w:pPr>
        <w:pStyle w:val="Bibliography"/>
        <w:rPr>
          <w:rFonts w:ascii="Aptos" w:hAnsi="Aptos"/>
        </w:rPr>
      </w:pPr>
      <w:r w:rsidRPr="00747520">
        <w:rPr>
          <w:rFonts w:ascii="Aptos" w:hAnsi="Aptos"/>
        </w:rPr>
        <w:t>[5]</w:t>
      </w:r>
      <w:r w:rsidRPr="00747520">
        <w:rPr>
          <w:rFonts w:ascii="Aptos" w:hAnsi="Aptos"/>
        </w:rPr>
        <w:tab/>
        <w:t>“MassGIS Data: 2020 U.S. Census | Mass.gov.” Accessed: May 08, 2024. [Online]. Available: https://www.mass.gov/info-details/massgis-data-2020-us-census</w:t>
      </w:r>
    </w:p>
    <w:p w14:paraId="71DDC116" w14:textId="77777777" w:rsidR="00747520" w:rsidRPr="00747520" w:rsidRDefault="00747520" w:rsidP="00747520">
      <w:pPr>
        <w:pStyle w:val="Bibliography"/>
        <w:rPr>
          <w:rFonts w:ascii="Aptos" w:hAnsi="Aptos"/>
        </w:rPr>
      </w:pPr>
      <w:r w:rsidRPr="00747520">
        <w:rPr>
          <w:rFonts w:ascii="Aptos" w:hAnsi="Aptos"/>
        </w:rPr>
        <w:t>[6]</w:t>
      </w:r>
      <w:r w:rsidRPr="00747520">
        <w:rPr>
          <w:rFonts w:ascii="Aptos" w:hAnsi="Aptos"/>
        </w:rPr>
        <w:tab/>
        <w:t>“MassGIS Data: 2022 Wards and Precincts | Mass.gov.” Accessed: May 08, 2024. [Online]. Available: https://www.mass.gov/info-details/massgis-data-2022-wards-and-precincts</w:t>
      </w:r>
    </w:p>
    <w:p w14:paraId="63456E4A" w14:textId="77777777" w:rsidR="00747520" w:rsidRPr="00747520" w:rsidRDefault="00747520" w:rsidP="00747520">
      <w:pPr>
        <w:pStyle w:val="Bibliography"/>
        <w:rPr>
          <w:rFonts w:ascii="Aptos" w:hAnsi="Aptos"/>
        </w:rPr>
      </w:pPr>
      <w:r w:rsidRPr="00747520">
        <w:rPr>
          <w:rFonts w:ascii="Aptos" w:hAnsi="Aptos"/>
        </w:rPr>
        <w:t>[7]</w:t>
      </w:r>
      <w:r w:rsidRPr="00747520">
        <w:rPr>
          <w:rFonts w:ascii="Aptos" w:hAnsi="Aptos"/>
        </w:rPr>
        <w:tab/>
        <w:t xml:space="preserve">G. Brown and H. Glanz, “Identifying potential NIMBY and YIMBY effects in general land use planning and zoning,” </w:t>
      </w:r>
      <w:r w:rsidRPr="00747520">
        <w:rPr>
          <w:rFonts w:ascii="Aptos" w:hAnsi="Aptos"/>
          <w:i/>
          <w:iCs/>
        </w:rPr>
        <w:t>Applied Geography</w:t>
      </w:r>
      <w:r w:rsidRPr="00747520">
        <w:rPr>
          <w:rFonts w:ascii="Aptos" w:hAnsi="Aptos"/>
        </w:rPr>
        <w:t>, vol. 99, pp. 1–11, Oct. 2018, doi: 10.1016/j.apgeog.2018.07.026.</w:t>
      </w:r>
    </w:p>
    <w:p w14:paraId="79A4EC1D" w14:textId="77777777" w:rsidR="00747520" w:rsidRPr="00747520" w:rsidRDefault="00747520" w:rsidP="00747520">
      <w:pPr>
        <w:pStyle w:val="Bibliography"/>
        <w:rPr>
          <w:rFonts w:ascii="Aptos" w:hAnsi="Aptos"/>
        </w:rPr>
      </w:pPr>
      <w:r w:rsidRPr="00747520">
        <w:rPr>
          <w:rFonts w:ascii="Aptos" w:hAnsi="Aptos"/>
        </w:rPr>
        <w:t>[8]</w:t>
      </w:r>
      <w:r w:rsidRPr="00747520">
        <w:rPr>
          <w:rFonts w:ascii="Aptos" w:hAnsi="Aptos"/>
        </w:rPr>
        <w:tab/>
        <w:t xml:space="preserve">S. V. Lincoln, A. Piepe, and R. Prior, “An Application of Principal Components Analysis to Voting in Scottish Municipal Elections 1967-9,” </w:t>
      </w:r>
      <w:r w:rsidRPr="00747520">
        <w:rPr>
          <w:rFonts w:ascii="Aptos" w:hAnsi="Aptos"/>
          <w:i/>
          <w:iCs/>
        </w:rPr>
        <w:t>Journal of the Royal Statistical Society. Series D (The Statistician)</w:t>
      </w:r>
      <w:r w:rsidRPr="00747520">
        <w:rPr>
          <w:rFonts w:ascii="Aptos" w:hAnsi="Aptos"/>
        </w:rPr>
        <w:t>, vol. 20, no. 4, pp. 73–88, 1971, doi: 10.2307/2986987.</w:t>
      </w:r>
    </w:p>
    <w:p w14:paraId="47030F91" w14:textId="77777777" w:rsidR="00747520" w:rsidRPr="00747520" w:rsidRDefault="00747520" w:rsidP="00747520">
      <w:pPr>
        <w:pStyle w:val="Bibliography"/>
        <w:rPr>
          <w:rFonts w:ascii="Aptos" w:hAnsi="Aptos"/>
        </w:rPr>
      </w:pPr>
      <w:r w:rsidRPr="00747520">
        <w:rPr>
          <w:rFonts w:ascii="Aptos" w:hAnsi="Aptos"/>
        </w:rPr>
        <w:t>[9]</w:t>
      </w:r>
      <w:r w:rsidRPr="00747520">
        <w:rPr>
          <w:rFonts w:ascii="Aptos" w:hAnsi="Aptos"/>
        </w:rPr>
        <w:tab/>
        <w:t xml:space="preserve">R. Iglesias-Pascual, F. Benassi, and V. Paloma, “A Spatial Approach to the Study of the Electoral Resurgence of the Extreme Right in Southern Spain,” </w:t>
      </w:r>
      <w:r w:rsidRPr="00747520">
        <w:rPr>
          <w:rFonts w:ascii="Aptos" w:hAnsi="Aptos"/>
          <w:i/>
          <w:iCs/>
        </w:rPr>
        <w:t>Spatial Demography</w:t>
      </w:r>
      <w:r w:rsidRPr="00747520">
        <w:rPr>
          <w:rFonts w:ascii="Aptos" w:hAnsi="Aptos"/>
        </w:rPr>
        <w:t>, vol. 10, no. 1, pp. 117–141, Apr. 2022, doi: 10.1007/s40980-022-00105-1.</w:t>
      </w:r>
    </w:p>
    <w:p w14:paraId="5B791167" w14:textId="77777777" w:rsidR="00747520" w:rsidRPr="00747520" w:rsidRDefault="00747520" w:rsidP="00747520">
      <w:pPr>
        <w:pStyle w:val="Bibliography"/>
        <w:rPr>
          <w:rFonts w:ascii="Aptos" w:hAnsi="Aptos"/>
        </w:rPr>
      </w:pPr>
      <w:r w:rsidRPr="00747520">
        <w:rPr>
          <w:rFonts w:ascii="Aptos" w:hAnsi="Aptos"/>
        </w:rPr>
        <w:t>[10]</w:t>
      </w:r>
      <w:r w:rsidRPr="00747520">
        <w:rPr>
          <w:rFonts w:ascii="Aptos" w:hAnsi="Aptos"/>
        </w:rPr>
        <w:tab/>
        <w:t xml:space="preserve">A. Brinker, K. An, and P. Christina, “Map: Nearly 200 towns must rezone under the MBTA Communities law. Has your town complied? - The Boston Globe,” </w:t>
      </w:r>
      <w:r w:rsidRPr="00747520">
        <w:rPr>
          <w:rFonts w:ascii="Aptos" w:hAnsi="Aptos"/>
          <w:i/>
          <w:iCs/>
        </w:rPr>
        <w:t>The Boston Globe</w:t>
      </w:r>
      <w:r w:rsidRPr="00747520">
        <w:rPr>
          <w:rFonts w:ascii="Aptos" w:hAnsi="Aptos"/>
        </w:rPr>
        <w:t>, May 07, 2024. Accessed: May 08, 2024. [Online]. Available: https://www.bostonglobe.com/2024/05/07/business/boston-housing-mbta-communities-law-towns/</w:t>
      </w:r>
    </w:p>
    <w:p w14:paraId="5A2D62E2" w14:textId="428EDBF2" w:rsidR="00747520" w:rsidRPr="00A66F2B" w:rsidRDefault="00747520" w:rsidP="00A66F2B">
      <w:r>
        <w:fldChar w:fldCharType="end"/>
      </w:r>
    </w:p>
    <w:sectPr w:rsidR="00747520" w:rsidRPr="00A66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14"/>
    <w:rsid w:val="00086A76"/>
    <w:rsid w:val="000C31EC"/>
    <w:rsid w:val="000D3C7E"/>
    <w:rsid w:val="00116E7A"/>
    <w:rsid w:val="00141F15"/>
    <w:rsid w:val="00147F1D"/>
    <w:rsid w:val="001535A5"/>
    <w:rsid w:val="001941A8"/>
    <w:rsid w:val="002A7CBF"/>
    <w:rsid w:val="002B7E8F"/>
    <w:rsid w:val="002D6C0B"/>
    <w:rsid w:val="002D791B"/>
    <w:rsid w:val="00302BDF"/>
    <w:rsid w:val="00334BD7"/>
    <w:rsid w:val="00347655"/>
    <w:rsid w:val="003B7A29"/>
    <w:rsid w:val="003E679A"/>
    <w:rsid w:val="004E4C22"/>
    <w:rsid w:val="0058108B"/>
    <w:rsid w:val="005D6D1E"/>
    <w:rsid w:val="00685DD1"/>
    <w:rsid w:val="00694D97"/>
    <w:rsid w:val="00747520"/>
    <w:rsid w:val="007D2FAE"/>
    <w:rsid w:val="00900695"/>
    <w:rsid w:val="00954E26"/>
    <w:rsid w:val="00997FC2"/>
    <w:rsid w:val="009D0746"/>
    <w:rsid w:val="009D1584"/>
    <w:rsid w:val="00A204F5"/>
    <w:rsid w:val="00A40888"/>
    <w:rsid w:val="00A43CD7"/>
    <w:rsid w:val="00A66F2B"/>
    <w:rsid w:val="00AA3AA1"/>
    <w:rsid w:val="00AB073D"/>
    <w:rsid w:val="00AF4C59"/>
    <w:rsid w:val="00B32114"/>
    <w:rsid w:val="00BA4B53"/>
    <w:rsid w:val="00BB2BED"/>
    <w:rsid w:val="00BC3E8A"/>
    <w:rsid w:val="00C2773B"/>
    <w:rsid w:val="00CF440A"/>
    <w:rsid w:val="00E05A61"/>
    <w:rsid w:val="00E70E9A"/>
    <w:rsid w:val="00EC6862"/>
    <w:rsid w:val="00F67834"/>
    <w:rsid w:val="00FB072A"/>
    <w:rsid w:val="00FF2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B465"/>
  <w15:chartTrackingRefBased/>
  <w15:docId w15:val="{3936F87D-59B7-499D-A4F3-C34CFA51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26"/>
  </w:style>
  <w:style w:type="paragraph" w:styleId="Heading1">
    <w:name w:val="heading 1"/>
    <w:basedOn w:val="Normal"/>
    <w:next w:val="Normal"/>
    <w:link w:val="Heading1Char"/>
    <w:uiPriority w:val="9"/>
    <w:qFormat/>
    <w:rsid w:val="00B32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14"/>
    <w:rPr>
      <w:rFonts w:eastAsiaTheme="majorEastAsia" w:cstheme="majorBidi"/>
      <w:color w:val="272727" w:themeColor="text1" w:themeTint="D8"/>
    </w:rPr>
  </w:style>
  <w:style w:type="paragraph" w:styleId="Title">
    <w:name w:val="Title"/>
    <w:basedOn w:val="Normal"/>
    <w:next w:val="Normal"/>
    <w:link w:val="TitleChar"/>
    <w:uiPriority w:val="10"/>
    <w:qFormat/>
    <w:rsid w:val="00B3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14"/>
    <w:pPr>
      <w:spacing w:before="160"/>
      <w:jc w:val="center"/>
    </w:pPr>
    <w:rPr>
      <w:i/>
      <w:iCs/>
      <w:color w:val="404040" w:themeColor="text1" w:themeTint="BF"/>
    </w:rPr>
  </w:style>
  <w:style w:type="character" w:customStyle="1" w:styleId="QuoteChar">
    <w:name w:val="Quote Char"/>
    <w:basedOn w:val="DefaultParagraphFont"/>
    <w:link w:val="Quote"/>
    <w:uiPriority w:val="29"/>
    <w:rsid w:val="00B32114"/>
    <w:rPr>
      <w:i/>
      <w:iCs/>
      <w:color w:val="404040" w:themeColor="text1" w:themeTint="BF"/>
    </w:rPr>
  </w:style>
  <w:style w:type="paragraph" w:styleId="ListParagraph">
    <w:name w:val="List Paragraph"/>
    <w:basedOn w:val="Normal"/>
    <w:uiPriority w:val="34"/>
    <w:qFormat/>
    <w:rsid w:val="00B32114"/>
    <w:pPr>
      <w:ind w:left="720"/>
      <w:contextualSpacing/>
    </w:pPr>
  </w:style>
  <w:style w:type="character" w:styleId="IntenseEmphasis">
    <w:name w:val="Intense Emphasis"/>
    <w:basedOn w:val="DefaultParagraphFont"/>
    <w:uiPriority w:val="21"/>
    <w:qFormat/>
    <w:rsid w:val="00B32114"/>
    <w:rPr>
      <w:i/>
      <w:iCs/>
      <w:color w:val="0F4761" w:themeColor="accent1" w:themeShade="BF"/>
    </w:rPr>
  </w:style>
  <w:style w:type="paragraph" w:styleId="IntenseQuote">
    <w:name w:val="Intense Quote"/>
    <w:basedOn w:val="Normal"/>
    <w:next w:val="Normal"/>
    <w:link w:val="IntenseQuoteChar"/>
    <w:uiPriority w:val="30"/>
    <w:qFormat/>
    <w:rsid w:val="00B32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114"/>
    <w:rPr>
      <w:i/>
      <w:iCs/>
      <w:color w:val="0F4761" w:themeColor="accent1" w:themeShade="BF"/>
    </w:rPr>
  </w:style>
  <w:style w:type="character" w:styleId="IntenseReference">
    <w:name w:val="Intense Reference"/>
    <w:basedOn w:val="DefaultParagraphFont"/>
    <w:uiPriority w:val="32"/>
    <w:qFormat/>
    <w:rsid w:val="00B32114"/>
    <w:rPr>
      <w:b/>
      <w:bCs/>
      <w:smallCaps/>
      <w:color w:val="0F4761" w:themeColor="accent1" w:themeShade="BF"/>
      <w:spacing w:val="5"/>
    </w:rPr>
  </w:style>
  <w:style w:type="paragraph" w:styleId="Bibliography">
    <w:name w:val="Bibliography"/>
    <w:basedOn w:val="Normal"/>
    <w:next w:val="Normal"/>
    <w:uiPriority w:val="37"/>
    <w:unhideWhenUsed/>
    <w:rsid w:val="00747520"/>
    <w:pPr>
      <w:tabs>
        <w:tab w:val="left" w:pos="504"/>
      </w:tabs>
      <w:spacing w:after="0" w:line="240" w:lineRule="auto"/>
      <w:ind w:left="504" w:hanging="504"/>
    </w:pPr>
  </w:style>
  <w:style w:type="paragraph" w:styleId="Caption">
    <w:name w:val="caption"/>
    <w:basedOn w:val="Normal"/>
    <w:next w:val="Normal"/>
    <w:uiPriority w:val="35"/>
    <w:semiHidden/>
    <w:unhideWhenUsed/>
    <w:qFormat/>
    <w:rsid w:val="00954E26"/>
    <w:pPr>
      <w:spacing w:after="200" w:line="240" w:lineRule="auto"/>
    </w:pPr>
    <w:rPr>
      <w:i/>
      <w:iCs/>
      <w:color w:val="0E2841" w:themeColor="text2"/>
      <w:sz w:val="18"/>
      <w:szCs w:val="18"/>
    </w:rPr>
  </w:style>
  <w:style w:type="paragraph" w:styleId="HTMLPreformatted">
    <w:name w:val="HTML Preformatted"/>
    <w:basedOn w:val="Normal"/>
    <w:link w:val="HTMLPreformattedChar"/>
    <w:uiPriority w:val="99"/>
    <w:unhideWhenUsed/>
    <w:rsid w:val="00A43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A43CD7"/>
    <w:rPr>
      <w:rFonts w:ascii="Courier New" w:eastAsia="Times New Roman" w:hAnsi="Courier New" w:cs="Courier New"/>
      <w:kern w:val="0"/>
      <w:sz w:val="20"/>
      <w:szCs w:val="20"/>
      <w14:ligatures w14:val="none"/>
    </w:rPr>
  </w:style>
  <w:style w:type="character" w:customStyle="1" w:styleId="gnvwddmdn3b">
    <w:name w:val="gnvwddmdn3b"/>
    <w:basedOn w:val="DefaultParagraphFont"/>
    <w:rsid w:val="00A4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87544">
      <w:bodyDiv w:val="1"/>
      <w:marLeft w:val="0"/>
      <w:marRight w:val="0"/>
      <w:marTop w:val="0"/>
      <w:marBottom w:val="0"/>
      <w:divBdr>
        <w:top w:val="none" w:sz="0" w:space="0" w:color="auto"/>
        <w:left w:val="none" w:sz="0" w:space="0" w:color="auto"/>
        <w:bottom w:val="none" w:sz="0" w:space="0" w:color="auto"/>
        <w:right w:val="none" w:sz="0" w:space="0" w:color="auto"/>
      </w:divBdr>
    </w:div>
    <w:div w:id="334579094">
      <w:bodyDiv w:val="1"/>
      <w:marLeft w:val="0"/>
      <w:marRight w:val="0"/>
      <w:marTop w:val="0"/>
      <w:marBottom w:val="0"/>
      <w:divBdr>
        <w:top w:val="none" w:sz="0" w:space="0" w:color="auto"/>
        <w:left w:val="none" w:sz="0" w:space="0" w:color="auto"/>
        <w:bottom w:val="none" w:sz="0" w:space="0" w:color="auto"/>
        <w:right w:val="none" w:sz="0" w:space="0" w:color="auto"/>
      </w:divBdr>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753861256">
      <w:bodyDiv w:val="1"/>
      <w:marLeft w:val="0"/>
      <w:marRight w:val="0"/>
      <w:marTop w:val="0"/>
      <w:marBottom w:val="0"/>
      <w:divBdr>
        <w:top w:val="none" w:sz="0" w:space="0" w:color="auto"/>
        <w:left w:val="none" w:sz="0" w:space="0" w:color="auto"/>
        <w:bottom w:val="none" w:sz="0" w:space="0" w:color="auto"/>
        <w:right w:val="none" w:sz="0" w:space="0" w:color="auto"/>
      </w:divBdr>
    </w:div>
    <w:div w:id="1458913107">
      <w:bodyDiv w:val="1"/>
      <w:marLeft w:val="0"/>
      <w:marRight w:val="0"/>
      <w:marTop w:val="0"/>
      <w:marBottom w:val="0"/>
      <w:divBdr>
        <w:top w:val="none" w:sz="0" w:space="0" w:color="auto"/>
        <w:left w:val="none" w:sz="0" w:space="0" w:color="auto"/>
        <w:bottom w:val="none" w:sz="0" w:space="0" w:color="auto"/>
        <w:right w:val="none" w:sz="0" w:space="0" w:color="auto"/>
      </w:divBdr>
    </w:div>
    <w:div w:id="14730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488EB-FCF5-456A-ABBA-D7C4164C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12</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Hilleary, Joseph C</dc:creator>
  <cp:keywords/>
  <dc:description/>
  <cp:lastModifiedBy>Hilleary, Joseph C</cp:lastModifiedBy>
  <cp:revision>32</cp:revision>
  <dcterms:created xsi:type="dcterms:W3CDTF">2024-05-08T18:47:00Z</dcterms:created>
  <dcterms:modified xsi:type="dcterms:W3CDTF">2024-05-09T02:51:00Z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id="cscsm2oz"/&gt;&lt;style id="http://www.zotero.org/styles/ieee" locale="en-US" hasBibliography="1" bibliographyStyleHasBeenSet="1"/&gt;&lt;prefs&gt;&lt;pref name="fieldType" value="Field"/&gt;&lt;/prefs&gt;&lt;/data&gt;</vt:lpwstr>
  </property>
</Properties>
</file>